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A51" w:rsidRDefault="00DD3B4E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734050" cy="715852"/>
            <wp:effectExtent l="0" t="0" r="0" b="0"/>
            <wp:docPr id="1" name="Drawing 0" descr="b072997f74169b0db95841fb7a288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072997f74169b0db95841fb7a28897f.pn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1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51" w:rsidRDefault="00DD3B4E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       </w:t>
      </w:r>
      <w:r w:rsidR="001D75BF">
        <w:rPr>
          <w:rFonts w:ascii="Open Sans" w:eastAsia="Open Sans" w:hAnsi="Open Sans" w:cs="Open Sans"/>
          <w:color w:val="000000"/>
          <w:sz w:val="18"/>
          <w:szCs w:val="18"/>
        </w:rPr>
        <w:t xml:space="preserve">                             </w:t>
      </w:r>
      <w:r>
        <w:rPr>
          <w:rFonts w:ascii="Open Sans" w:eastAsia="Open Sans" w:hAnsi="Open Sans" w:cs="Open Sans"/>
          <w:color w:val="000000"/>
          <w:sz w:val="18"/>
          <w:szCs w:val="18"/>
        </w:rPr>
        <w:t xml:space="preserve">IRCCS San Gerardo dei </w:t>
      </w:r>
      <w:proofErr w:type="gramStart"/>
      <w:r>
        <w:rPr>
          <w:rFonts w:ascii="Open Sans" w:eastAsia="Open Sans" w:hAnsi="Open Sans" w:cs="Open Sans"/>
          <w:color w:val="000000"/>
          <w:sz w:val="18"/>
          <w:szCs w:val="18"/>
        </w:rPr>
        <w:t>Tintori  UTIC</w:t>
      </w:r>
      <w:proofErr w:type="gram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   Lanzetta Noemi (1), </w:t>
      </w:r>
      <w:proofErr w:type="spellStart"/>
      <w:r>
        <w:rPr>
          <w:rFonts w:ascii="Open Sans" w:eastAsia="Open Sans" w:hAnsi="Open Sans" w:cs="Open Sans"/>
          <w:color w:val="000000"/>
          <w:sz w:val="18"/>
          <w:szCs w:val="18"/>
        </w:rPr>
        <w:t>Sca</w:t>
      </w:r>
      <w:r w:rsidR="001D75BF">
        <w:rPr>
          <w:rFonts w:ascii="Open Sans" w:eastAsia="Open Sans" w:hAnsi="Open Sans" w:cs="Open Sans"/>
          <w:color w:val="000000"/>
          <w:sz w:val="18"/>
          <w:szCs w:val="18"/>
        </w:rPr>
        <w:t>rano</w:t>
      </w:r>
      <w:proofErr w:type="spellEnd"/>
      <w:r w:rsidR="001D75BF">
        <w:rPr>
          <w:rFonts w:ascii="Open Sans" w:eastAsia="Open Sans" w:hAnsi="Open Sans" w:cs="Open Sans"/>
          <w:color w:val="000000"/>
          <w:sz w:val="18"/>
          <w:szCs w:val="18"/>
        </w:rPr>
        <w:t xml:space="preserve"> Elisa (2), Zullino Stefano </w:t>
      </w:r>
      <w:r>
        <w:rPr>
          <w:rFonts w:ascii="Open Sans" w:eastAsia="Open Sans" w:hAnsi="Open Sans" w:cs="Open Sans"/>
          <w:color w:val="000000"/>
          <w:sz w:val="18"/>
          <w:szCs w:val="18"/>
        </w:rPr>
        <w:t>(</w:t>
      </w:r>
      <w:r>
        <w:rPr>
          <w:rFonts w:ascii="Open Sans" w:eastAsia="Open Sans" w:hAnsi="Open Sans" w:cs="Open Sans"/>
          <w:color w:val="000000"/>
          <w:sz w:val="18"/>
          <w:szCs w:val="18"/>
        </w:rPr>
        <w:t xml:space="preserve">3) </w:t>
      </w:r>
    </w:p>
    <w:p w:rsidR="00747A51" w:rsidRDefault="00DD3B4E">
      <w:pPr>
        <w:spacing w:before="120" w:after="120" w:line="336" w:lineRule="auto"/>
        <w:jc w:val="center"/>
      </w:pPr>
      <w:r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</w:rPr>
        <w:t xml:space="preserve">L'APPLICABILITÀ DEL SELFCARE NUTRIZIONALE </w:t>
      </w:r>
      <w:r w:rsidR="00661111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</w:rPr>
        <w:t xml:space="preserve">ATTRAVERSO LA </w:t>
      </w:r>
      <w:r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</w:rPr>
        <w:t>PS</w:t>
      </w:r>
      <w:r w:rsidR="00661111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</w:rPr>
        <w:t>ICO-NEURO-ENDOCRINO-IMMUNOLOGIA</w:t>
      </w:r>
      <w:r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</w:rPr>
        <w:t xml:space="preserve"> (PNEI) NEL PAZIENTE </w:t>
      </w:r>
      <w:r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</w:rPr>
        <w:t xml:space="preserve">TRAPIANTATO </w:t>
      </w:r>
    </w:p>
    <w:p w:rsidR="00747A51" w:rsidRDefault="00DD3B4E" w:rsidP="001D75BF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38"/>
          <w:szCs w:val="38"/>
        </w:rPr>
        <w:t xml:space="preserve">Introduzione </w:t>
      </w:r>
    </w:p>
    <w:p w:rsidR="00747A51" w:rsidRDefault="00DD3B4E" w:rsidP="001D75BF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Il </w:t>
      </w:r>
      <w:r>
        <w:rPr>
          <w:rFonts w:ascii="Open Sans Bold" w:eastAsia="Open Sans Bold" w:hAnsi="Open Sans Bold" w:cs="Open Sans Bold"/>
          <w:b/>
          <w:bCs/>
          <w:color w:val="000000"/>
        </w:rPr>
        <w:t>trapianto d’organo</w:t>
      </w:r>
      <w:r>
        <w:rPr>
          <w:rFonts w:ascii="Open Sans" w:eastAsia="Open Sans" w:hAnsi="Open Sans" w:cs="Open Sans"/>
          <w:color w:val="000000"/>
        </w:rPr>
        <w:t xml:space="preserve"> rappresenta la terapia definitiva per molte</w:t>
      </w:r>
      <w:r w:rsidR="001D75BF">
        <w:rPr>
          <w:rFonts w:ascii="Open Sans" w:eastAsia="Open Sans" w:hAnsi="Open Sans" w:cs="Open Sans"/>
          <w:color w:val="000000"/>
        </w:rPr>
        <w:t xml:space="preserve"> insufficienze terminali (</w:t>
      </w:r>
      <w:proofErr w:type="spellStart"/>
      <w:r w:rsidR="001D75BF">
        <w:rPr>
          <w:rFonts w:ascii="Open Sans" w:eastAsia="Open Sans" w:hAnsi="Open Sans" w:cs="Open Sans"/>
          <w:color w:val="000000"/>
        </w:rPr>
        <w:t>Calne</w:t>
      </w:r>
      <w:proofErr w:type="spellEnd"/>
      <w:r w:rsidR="001D75BF">
        <w:rPr>
          <w:rFonts w:ascii="Open Sans" w:eastAsia="Open Sans" w:hAnsi="Open Sans" w:cs="Open Sans"/>
          <w:color w:val="000000"/>
        </w:rPr>
        <w:t xml:space="preserve"> </w:t>
      </w:r>
      <w:r>
        <w:rPr>
          <w:rFonts w:ascii="Open Sans" w:eastAsia="Open Sans" w:hAnsi="Open Sans" w:cs="Open Sans"/>
          <w:color w:val="000000"/>
        </w:rPr>
        <w:t>et al., 1981). L’evoluzione delle tecniche chirurgiche e dei protocolli immunosoppressivi ha migliorato la sopravvivenza, rendendo i</w:t>
      </w:r>
      <w:r>
        <w:rPr>
          <w:rFonts w:ascii="Open Sans" w:eastAsia="Open Sans" w:hAnsi="Open Sans" w:cs="Open Sans"/>
          <w:color w:val="000000"/>
        </w:rPr>
        <w:t xml:space="preserve">l </w:t>
      </w:r>
      <w:r>
        <w:rPr>
          <w:rFonts w:ascii="Open Sans Bold" w:eastAsia="Open Sans Bold" w:hAnsi="Open Sans Bold" w:cs="Open Sans Bold"/>
          <w:b/>
          <w:bCs/>
          <w:color w:val="000000"/>
        </w:rPr>
        <w:t>follow-up</w:t>
      </w:r>
      <w:r>
        <w:rPr>
          <w:rFonts w:ascii="Open Sans" w:eastAsia="Open Sans" w:hAnsi="Open Sans" w:cs="Open Sans"/>
          <w:color w:val="000000"/>
        </w:rPr>
        <w:t xml:space="preserve"> centrale nella prevenzione di rigetto, infezioni e complicanze meta</w:t>
      </w:r>
      <w:bookmarkStart w:id="0" w:name="_GoBack"/>
      <w:bookmarkEnd w:id="0"/>
      <w:r w:rsidR="001D75BF">
        <w:rPr>
          <w:rFonts w:ascii="Open Sans" w:eastAsia="Open Sans" w:hAnsi="Open Sans" w:cs="Open Sans"/>
          <w:color w:val="000000"/>
        </w:rPr>
        <w:t>boliche (</w:t>
      </w:r>
      <w:proofErr w:type="spellStart"/>
      <w:r w:rsidR="001D75BF">
        <w:rPr>
          <w:rFonts w:ascii="Open Sans" w:eastAsia="Open Sans" w:hAnsi="Open Sans" w:cs="Open Sans"/>
          <w:color w:val="000000"/>
        </w:rPr>
        <w:t>Zeltzer</w:t>
      </w:r>
      <w:proofErr w:type="spellEnd"/>
      <w:r w:rsidR="001D75BF">
        <w:rPr>
          <w:rFonts w:ascii="Open Sans" w:eastAsia="Open Sans" w:hAnsi="Open Sans" w:cs="Open Sans"/>
          <w:color w:val="000000"/>
        </w:rPr>
        <w:t xml:space="preserve"> et al., 2015).</w:t>
      </w:r>
      <w:r>
        <w:rPr>
          <w:rFonts w:ascii="Open Sans" w:eastAsia="Open Sans" w:hAnsi="Open Sans" w:cs="Open Sans"/>
          <w:color w:val="000000"/>
        </w:rPr>
        <w:br/>
        <w:t xml:space="preserve">All’interno del </w:t>
      </w:r>
      <w:r>
        <w:rPr>
          <w:rFonts w:ascii="Open Sans Bold" w:eastAsia="Open Sans Bold" w:hAnsi="Open Sans Bold" w:cs="Open Sans Bold"/>
          <w:b/>
          <w:bCs/>
          <w:color w:val="000000"/>
        </w:rPr>
        <w:t>PDTA</w:t>
      </w:r>
      <w:r>
        <w:rPr>
          <w:rFonts w:ascii="Open Sans" w:eastAsia="Open Sans" w:hAnsi="Open Sans" w:cs="Open Sans"/>
          <w:color w:val="000000"/>
        </w:rPr>
        <w:t>, l’approccio multidisciplinare integra aspetti psicosociali, endocrini, immunitari e nutrizionali, con l’</w:t>
      </w:r>
      <w:r>
        <w:rPr>
          <w:rFonts w:ascii="Open Sans Bold" w:eastAsia="Open Sans Bold" w:hAnsi="Open Sans Bold" w:cs="Open Sans Bold"/>
          <w:b/>
          <w:bCs/>
          <w:color w:val="000000"/>
        </w:rPr>
        <w:t>infermiere</w:t>
      </w:r>
      <w:r>
        <w:rPr>
          <w:rFonts w:ascii="Open Sans" w:eastAsia="Open Sans" w:hAnsi="Open Sans" w:cs="Open Sans"/>
          <w:color w:val="000000"/>
        </w:rPr>
        <w:t xml:space="preserve"> in un r</w:t>
      </w:r>
      <w:r>
        <w:rPr>
          <w:rFonts w:ascii="Open Sans" w:eastAsia="Open Sans" w:hAnsi="Open Sans" w:cs="Open Sans"/>
          <w:color w:val="000000"/>
        </w:rPr>
        <w:t>uolo cruciale di educazione, monitoraggio e coordina</w:t>
      </w:r>
      <w:r w:rsidR="001D75BF">
        <w:rPr>
          <w:rFonts w:ascii="Open Sans" w:eastAsia="Open Sans" w:hAnsi="Open Sans" w:cs="Open Sans"/>
          <w:color w:val="000000"/>
        </w:rPr>
        <w:t>mento (Procaccio et al., 2012).</w:t>
      </w:r>
      <w:r>
        <w:rPr>
          <w:rFonts w:ascii="Open Sans" w:eastAsia="Open Sans" w:hAnsi="Open Sans" w:cs="Open Sans"/>
          <w:color w:val="000000"/>
        </w:rPr>
        <w:br/>
        <w:t xml:space="preserve">La </w:t>
      </w:r>
      <w:r>
        <w:rPr>
          <w:rFonts w:ascii="Open Sans Bold" w:eastAsia="Open Sans Bold" w:hAnsi="Open Sans Bold" w:cs="Open Sans Bold"/>
          <w:b/>
          <w:bCs/>
          <w:color w:val="000000"/>
        </w:rPr>
        <w:t>nutrizione</w:t>
      </w:r>
      <w:r>
        <w:rPr>
          <w:rFonts w:ascii="Open Sans" w:eastAsia="Open Sans" w:hAnsi="Open Sans" w:cs="Open Sans"/>
          <w:color w:val="000000"/>
        </w:rPr>
        <w:t xml:space="preserve">, intesa come parte fondamentale del </w:t>
      </w:r>
      <w:r>
        <w:rPr>
          <w:rFonts w:ascii="Open Sans Bold" w:eastAsia="Open Sans Bold" w:hAnsi="Open Sans Bold" w:cs="Open Sans Bold"/>
          <w:b/>
          <w:bCs/>
          <w:color w:val="000000"/>
        </w:rPr>
        <w:t>self-care</w:t>
      </w:r>
      <w:r>
        <w:rPr>
          <w:rFonts w:ascii="Open Sans" w:eastAsia="Open Sans" w:hAnsi="Open Sans" w:cs="Open Sans"/>
          <w:color w:val="000000"/>
        </w:rPr>
        <w:t xml:space="preserve">, influenza infiammazione, metabolismo, </w:t>
      </w:r>
      <w:proofErr w:type="spellStart"/>
      <w:r>
        <w:rPr>
          <w:rFonts w:ascii="Open Sans" w:eastAsia="Open Sans" w:hAnsi="Open Sans" w:cs="Open Sans"/>
          <w:color w:val="000000"/>
        </w:rPr>
        <w:t>microbiota</w:t>
      </w:r>
      <w:proofErr w:type="spellEnd"/>
      <w:r>
        <w:rPr>
          <w:rFonts w:ascii="Open Sans" w:eastAsia="Open Sans" w:hAnsi="Open Sans" w:cs="Open Sans"/>
          <w:color w:val="000000"/>
        </w:rPr>
        <w:t xml:space="preserve"> e immunità (</w:t>
      </w:r>
      <w:proofErr w:type="spellStart"/>
      <w:r>
        <w:rPr>
          <w:rFonts w:ascii="Open Sans" w:eastAsia="Open Sans" w:hAnsi="Open Sans" w:cs="Open Sans"/>
          <w:color w:val="000000"/>
        </w:rPr>
        <w:t>Bonnet</w:t>
      </w:r>
      <w:proofErr w:type="spellEnd"/>
      <w:r>
        <w:rPr>
          <w:rFonts w:ascii="Open Sans" w:eastAsia="Open Sans" w:hAnsi="Open Sans" w:cs="Open Sans"/>
          <w:color w:val="000000"/>
        </w:rPr>
        <w:t xml:space="preserve"> et al., 2024).  </w:t>
      </w:r>
    </w:p>
    <w:p w:rsidR="00747A51" w:rsidRDefault="00DD3B4E" w:rsidP="001D75BF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</w:rPr>
        <w:t xml:space="preserve">La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</w:rPr>
        <w:t>PsicoNeuroEndocrinoImm</w:t>
      </w:r>
      <w:r>
        <w:rPr>
          <w:rFonts w:ascii="Open Sans Bold" w:eastAsia="Open Sans Bold" w:hAnsi="Open Sans Bold" w:cs="Open Sans Bold"/>
          <w:b/>
          <w:bCs/>
          <w:color w:val="000000"/>
        </w:rPr>
        <w:t>unologia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</w:rPr>
        <w:t xml:space="preserve"> (PNEI)</w:t>
      </w:r>
      <w:r>
        <w:rPr>
          <w:rFonts w:ascii="Open Sans" w:eastAsia="Open Sans" w:hAnsi="Open Sans" w:cs="Open Sans"/>
          <w:color w:val="000000"/>
        </w:rPr>
        <w:t xml:space="preserve"> interpreta il paziente come un sistema integrato in cui stress, ormoni e sistema immunitario interagiscono dinamicamente (Barker &amp; </w:t>
      </w:r>
      <w:proofErr w:type="spellStart"/>
      <w:r>
        <w:rPr>
          <w:rFonts w:ascii="Open Sans" w:eastAsia="Open Sans" w:hAnsi="Open Sans" w:cs="Open Sans"/>
          <w:color w:val="000000"/>
        </w:rPr>
        <w:t>Markmann</w:t>
      </w:r>
      <w:proofErr w:type="spellEnd"/>
      <w:r>
        <w:rPr>
          <w:rFonts w:ascii="Open Sans" w:eastAsia="Open Sans" w:hAnsi="Open Sans" w:cs="Open Sans"/>
          <w:color w:val="000000"/>
        </w:rPr>
        <w:t xml:space="preserve">, 2013), risultando particolarmente rilevante nel trapianto di cuore e nella gestione del </w:t>
      </w:r>
      <w:r>
        <w:rPr>
          <w:rFonts w:ascii="Open Sans Bold" w:eastAsia="Open Sans Bold" w:hAnsi="Open Sans Bold" w:cs="Open Sans Bold"/>
          <w:b/>
          <w:bCs/>
          <w:color w:val="000000"/>
        </w:rPr>
        <w:t>L-VAD</w:t>
      </w:r>
      <w:r>
        <w:rPr>
          <w:rFonts w:ascii="Open Sans" w:eastAsia="Open Sans" w:hAnsi="Open Sans" w:cs="Open Sans"/>
          <w:color w:val="000000"/>
        </w:rPr>
        <w:t xml:space="preserve">. </w:t>
      </w:r>
    </w:p>
    <w:p w:rsidR="00747A51" w:rsidRDefault="00DD3B4E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46"/>
          <w:szCs w:val="46"/>
        </w:rPr>
        <w:t>Mat</w:t>
      </w:r>
      <w:r>
        <w:rPr>
          <w:rFonts w:ascii="Open Sans Bold" w:eastAsia="Open Sans Bold" w:hAnsi="Open Sans Bold" w:cs="Open Sans Bold"/>
          <w:b/>
          <w:bCs/>
          <w:color w:val="000000"/>
          <w:sz w:val="46"/>
          <w:szCs w:val="46"/>
        </w:rPr>
        <w:t>eriali e Metodi</w:t>
      </w:r>
      <w:r>
        <w:rPr>
          <w:rFonts w:ascii="Open Sans" w:eastAsia="Open Sans" w:hAnsi="Open Sans" w:cs="Open Sans"/>
          <w:color w:val="000000"/>
          <w:sz w:val="46"/>
          <w:szCs w:val="46"/>
        </w:rPr>
        <w:t xml:space="preserve"> </w:t>
      </w:r>
    </w:p>
    <w:p w:rsidR="00747A51" w:rsidRDefault="00DD3B4E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È stata condotta una </w:t>
      </w:r>
      <w:r>
        <w:rPr>
          <w:rFonts w:ascii="Open Sans Bold" w:eastAsia="Open Sans Bold" w:hAnsi="Open Sans Bold" w:cs="Open Sans Bold"/>
          <w:b/>
          <w:bCs/>
          <w:color w:val="000000"/>
        </w:rPr>
        <w:t>revisione della letteratura</w:t>
      </w:r>
      <w:r>
        <w:rPr>
          <w:rFonts w:ascii="Open Sans" w:eastAsia="Open Sans" w:hAnsi="Open Sans" w:cs="Open Sans"/>
          <w:color w:val="000000"/>
        </w:rPr>
        <w:t xml:space="preserve"> consultando articoli sulle diverse banche dati riguardanti: </w:t>
      </w:r>
    </w:p>
    <w:p w:rsidR="00747A51" w:rsidRDefault="00DD3B4E">
      <w:pPr>
        <w:numPr>
          <w:ilvl w:val="0"/>
          <w:numId w:val="1"/>
        </w:numPr>
        <w:spacing w:after="0" w:line="336" w:lineRule="auto"/>
      </w:pPr>
      <w:r>
        <w:rPr>
          <w:rFonts w:ascii="Open Sans" w:eastAsia="Open Sans" w:hAnsi="Open Sans" w:cs="Open Sans"/>
          <w:color w:val="000000"/>
        </w:rPr>
        <w:t xml:space="preserve">l’interazione tra </w:t>
      </w:r>
      <w:r>
        <w:rPr>
          <w:rFonts w:ascii="Open Sans Bold" w:eastAsia="Open Sans Bold" w:hAnsi="Open Sans Bold" w:cs="Open Sans Bold"/>
          <w:b/>
          <w:bCs/>
          <w:color w:val="000000"/>
        </w:rPr>
        <w:t>stress</w:t>
      </w:r>
      <w:r>
        <w:rPr>
          <w:rFonts w:ascii="Open Sans" w:eastAsia="Open Sans" w:hAnsi="Open Sans" w:cs="Open Sans"/>
          <w:color w:val="000000"/>
        </w:rPr>
        <w:t xml:space="preserve"> e </w:t>
      </w:r>
      <w:r>
        <w:rPr>
          <w:rFonts w:ascii="Open Sans Bold" w:eastAsia="Open Sans Bold" w:hAnsi="Open Sans Bold" w:cs="Open Sans Bold"/>
          <w:b/>
          <w:bCs/>
          <w:color w:val="000000"/>
        </w:rPr>
        <w:t>asse HPA</w:t>
      </w:r>
      <w:r>
        <w:rPr>
          <w:rFonts w:ascii="Open Sans" w:eastAsia="Open Sans" w:hAnsi="Open Sans" w:cs="Open Sans"/>
          <w:color w:val="000000"/>
        </w:rPr>
        <w:t xml:space="preserve"> nel post-trapianto; </w:t>
      </w:r>
    </w:p>
    <w:p w:rsidR="00747A51" w:rsidRDefault="00DD3B4E">
      <w:pPr>
        <w:numPr>
          <w:ilvl w:val="0"/>
          <w:numId w:val="1"/>
        </w:numPr>
        <w:spacing w:after="0" w:line="336" w:lineRule="auto"/>
      </w:pPr>
      <w:r>
        <w:rPr>
          <w:rFonts w:ascii="Open Sans" w:eastAsia="Open Sans" w:hAnsi="Open Sans" w:cs="Open Sans"/>
          <w:color w:val="000000"/>
        </w:rPr>
        <w:t xml:space="preserve">il ruolo delle </w:t>
      </w:r>
      <w:r>
        <w:rPr>
          <w:rFonts w:ascii="Open Sans Bold" w:eastAsia="Open Sans Bold" w:hAnsi="Open Sans Bold" w:cs="Open Sans Bold"/>
          <w:b/>
          <w:bCs/>
          <w:color w:val="000000"/>
        </w:rPr>
        <w:t>citochine</w:t>
      </w:r>
      <w:r>
        <w:rPr>
          <w:rFonts w:ascii="Open Sans" w:eastAsia="Open Sans" w:hAnsi="Open Sans" w:cs="Open Sans"/>
          <w:color w:val="000000"/>
        </w:rPr>
        <w:t xml:space="preserve"> (IL-1, IL-6, TNF-α) nel rigetto; </w:t>
      </w:r>
    </w:p>
    <w:p w:rsidR="00747A51" w:rsidRDefault="00DD3B4E">
      <w:pPr>
        <w:numPr>
          <w:ilvl w:val="0"/>
          <w:numId w:val="1"/>
        </w:numPr>
        <w:spacing w:after="0" w:line="336" w:lineRule="auto"/>
      </w:pPr>
      <w:r>
        <w:rPr>
          <w:rFonts w:ascii="Open Sans" w:eastAsia="Open Sans" w:hAnsi="Open Sans" w:cs="Open Sans"/>
          <w:color w:val="000000"/>
        </w:rPr>
        <w:lastRenderedPageBreak/>
        <w:t xml:space="preserve">gli effetti </w:t>
      </w:r>
      <w:r>
        <w:rPr>
          <w:rFonts w:ascii="Open Sans Bold" w:eastAsia="Open Sans Bold" w:hAnsi="Open Sans Bold" w:cs="Open Sans Bold"/>
          <w:b/>
          <w:bCs/>
          <w:color w:val="000000"/>
        </w:rPr>
        <w:t>endocrini</w:t>
      </w:r>
      <w:r>
        <w:rPr>
          <w:rFonts w:ascii="Open Sans" w:eastAsia="Open Sans" w:hAnsi="Open Sans" w:cs="Open Sans"/>
          <w:color w:val="000000"/>
        </w:rPr>
        <w:t xml:space="preserve"> e metabolici dei farmaci immunosoppressori; </w:t>
      </w:r>
    </w:p>
    <w:p w:rsidR="00747A51" w:rsidRDefault="00DD3B4E">
      <w:pPr>
        <w:numPr>
          <w:ilvl w:val="0"/>
          <w:numId w:val="1"/>
        </w:numPr>
        <w:spacing w:after="0" w:line="336" w:lineRule="auto"/>
      </w:pPr>
      <w:r>
        <w:rPr>
          <w:rFonts w:ascii="Open Sans" w:eastAsia="Open Sans" w:hAnsi="Open Sans" w:cs="Open Sans"/>
          <w:color w:val="000000"/>
        </w:rPr>
        <w:t xml:space="preserve">l’influenza del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</w:rPr>
        <w:t>microbiota</w:t>
      </w:r>
      <w:proofErr w:type="spellEnd"/>
      <w:r>
        <w:rPr>
          <w:rFonts w:ascii="Open Sans" w:eastAsia="Open Sans" w:hAnsi="Open Sans" w:cs="Open Sans"/>
          <w:color w:val="000000"/>
        </w:rPr>
        <w:t xml:space="preserve"> sulla regolazione immunitaria; </w:t>
      </w:r>
    </w:p>
    <w:p w:rsidR="00747A51" w:rsidRDefault="00DD3B4E">
      <w:pPr>
        <w:numPr>
          <w:ilvl w:val="0"/>
          <w:numId w:val="1"/>
        </w:numPr>
        <w:spacing w:after="0" w:line="336" w:lineRule="auto"/>
      </w:pPr>
      <w:r>
        <w:rPr>
          <w:rFonts w:ascii="Open Sans" w:eastAsia="Open Sans" w:hAnsi="Open Sans" w:cs="Open Sans"/>
          <w:color w:val="000000"/>
        </w:rPr>
        <w:t xml:space="preserve">l’impatto della </w:t>
      </w:r>
      <w:r>
        <w:rPr>
          <w:rFonts w:ascii="Open Sans Bold" w:eastAsia="Open Sans Bold" w:hAnsi="Open Sans Bold" w:cs="Open Sans Bold"/>
          <w:b/>
          <w:bCs/>
          <w:color w:val="000000"/>
        </w:rPr>
        <w:t>nutrizione</w:t>
      </w:r>
      <w:r>
        <w:rPr>
          <w:rFonts w:ascii="Open Sans" w:eastAsia="Open Sans" w:hAnsi="Open Sans" w:cs="Open Sans"/>
          <w:color w:val="000000"/>
        </w:rPr>
        <w:t xml:space="preserve"> su infiammazione, omeostasi metabolica e salute vascolare; </w:t>
      </w:r>
    </w:p>
    <w:p w:rsidR="00747A51" w:rsidRDefault="00DD3B4E">
      <w:pPr>
        <w:numPr>
          <w:ilvl w:val="0"/>
          <w:numId w:val="1"/>
        </w:numPr>
        <w:spacing w:after="0" w:line="336" w:lineRule="auto"/>
      </w:pPr>
      <w:r>
        <w:rPr>
          <w:rFonts w:ascii="Open Sans" w:eastAsia="Open Sans" w:hAnsi="Open Sans" w:cs="Open Sans"/>
          <w:color w:val="000000"/>
        </w:rPr>
        <w:t xml:space="preserve">gli effetti del supporto </w:t>
      </w:r>
      <w:r>
        <w:rPr>
          <w:rFonts w:ascii="Open Sans Bold" w:eastAsia="Open Sans Bold" w:hAnsi="Open Sans Bold" w:cs="Open Sans Bold"/>
          <w:b/>
          <w:bCs/>
          <w:color w:val="000000"/>
        </w:rPr>
        <w:t>L-VAD</w:t>
      </w:r>
      <w:r>
        <w:rPr>
          <w:rFonts w:ascii="Open Sans" w:eastAsia="Open Sans" w:hAnsi="Open Sans" w:cs="Open Sans"/>
          <w:color w:val="000000"/>
        </w:rPr>
        <w:t xml:space="preserve"> su risposta neuroendocri</w:t>
      </w:r>
      <w:r>
        <w:rPr>
          <w:rFonts w:ascii="Open Sans" w:eastAsia="Open Sans" w:hAnsi="Open Sans" w:cs="Open Sans"/>
          <w:color w:val="000000"/>
        </w:rPr>
        <w:t xml:space="preserve">na e infiammatoria; </w:t>
      </w:r>
    </w:p>
    <w:p w:rsidR="00747A51" w:rsidRDefault="00DD3B4E">
      <w:pPr>
        <w:numPr>
          <w:ilvl w:val="0"/>
          <w:numId w:val="1"/>
        </w:numPr>
        <w:spacing w:after="0" w:line="336" w:lineRule="auto"/>
      </w:pPr>
      <w:r>
        <w:rPr>
          <w:rFonts w:ascii="Open Sans" w:eastAsia="Open Sans" w:hAnsi="Open Sans" w:cs="Open Sans"/>
          <w:color w:val="000000"/>
        </w:rPr>
        <w:t>il contributo dell’</w:t>
      </w:r>
      <w:r>
        <w:rPr>
          <w:rFonts w:ascii="Open Sans Bold" w:eastAsia="Open Sans Bold" w:hAnsi="Open Sans Bold" w:cs="Open Sans Bold"/>
          <w:b/>
          <w:bCs/>
          <w:color w:val="000000"/>
        </w:rPr>
        <w:t>infermiere</w:t>
      </w:r>
      <w:r>
        <w:rPr>
          <w:rFonts w:ascii="Open Sans" w:eastAsia="Open Sans" w:hAnsi="Open Sans" w:cs="Open Sans"/>
          <w:color w:val="000000"/>
        </w:rPr>
        <w:t xml:space="preserve"> al self-care e all’aderenza terapeutica.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747A51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47A51" w:rsidRDefault="00DD3B4E">
            <w:pPr>
              <w:spacing w:before="120" w:after="120" w:line="336" w:lineRule="auto"/>
              <w:jc w:val="both"/>
            </w:pPr>
            <w:r>
              <w:rPr>
                <w:rFonts w:ascii="Open Sans" w:eastAsia="Open Sans" w:hAnsi="Open Sans" w:cs="Open Sans"/>
                <w:color w:val="000000"/>
              </w:rPr>
              <w:t xml:space="preserve">Le fonti includono Barker &amp; </w:t>
            </w:r>
            <w:proofErr w:type="spellStart"/>
            <w:r>
              <w:rPr>
                <w:rFonts w:ascii="Open Sans" w:eastAsia="Open Sans" w:hAnsi="Open Sans" w:cs="Open Sans"/>
                <w:color w:val="000000"/>
              </w:rPr>
              <w:t>Markmann</w:t>
            </w:r>
            <w:proofErr w:type="spellEnd"/>
            <w:r>
              <w:rPr>
                <w:rFonts w:ascii="Open Sans" w:eastAsia="Open Sans" w:hAnsi="Open Sans" w:cs="Open Sans"/>
                <w:color w:val="000000"/>
              </w:rPr>
              <w:t xml:space="preserve"> (2013), </w:t>
            </w:r>
            <w:proofErr w:type="spellStart"/>
            <w:r>
              <w:rPr>
                <w:rFonts w:ascii="Open Sans" w:eastAsia="Open Sans" w:hAnsi="Open Sans" w:cs="Open Sans"/>
                <w:color w:val="000000"/>
              </w:rPr>
              <w:t>Calne</w:t>
            </w:r>
            <w:proofErr w:type="spellEnd"/>
            <w:r>
              <w:rPr>
                <w:rFonts w:ascii="Open Sans" w:eastAsia="Open Sans" w:hAnsi="Open Sans" w:cs="Open Sans"/>
                <w:color w:val="000000"/>
              </w:rPr>
              <w:t xml:space="preserve"> et al. (1981), </w:t>
            </w:r>
            <w:proofErr w:type="spellStart"/>
            <w:r>
              <w:rPr>
                <w:rFonts w:ascii="Open Sans" w:eastAsia="Open Sans" w:hAnsi="Open Sans" w:cs="Open Sans"/>
                <w:color w:val="000000"/>
              </w:rPr>
              <w:t>Bonnet</w:t>
            </w:r>
            <w:proofErr w:type="spellEnd"/>
            <w:r>
              <w:rPr>
                <w:rFonts w:ascii="Open Sans" w:eastAsia="Open Sans" w:hAnsi="Open Sans" w:cs="Open Sans"/>
                <w:color w:val="000000"/>
              </w:rPr>
              <w:t xml:space="preserve"> et al. (2024), Procaccio et al. (2012) e </w:t>
            </w:r>
            <w:proofErr w:type="spellStart"/>
            <w:r>
              <w:rPr>
                <w:rFonts w:ascii="Open Sans" w:eastAsia="Open Sans" w:hAnsi="Open Sans" w:cs="Open Sans"/>
                <w:color w:val="000000"/>
              </w:rPr>
              <w:t>Zeltzer</w:t>
            </w:r>
            <w:proofErr w:type="spellEnd"/>
            <w:r>
              <w:rPr>
                <w:rFonts w:ascii="Open Sans" w:eastAsia="Open Sans" w:hAnsi="Open Sans" w:cs="Open Sans"/>
                <w:color w:val="000000"/>
              </w:rPr>
              <w:t xml:space="preserve"> et al. (2015).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47A51" w:rsidRDefault="001D75BF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54AD678" wp14:editId="23127E28">
                  <wp:extent cx="1185411" cy="1265972"/>
                  <wp:effectExtent l="0" t="0" r="0" b="0"/>
                  <wp:docPr id="2" name="Drawing 1" descr="28a7a3f3-45a6-43e0-902f-d797622a5e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8a7a3f3-45a6-43e0-902f-d797622a5e0a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11" cy="126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A51" w:rsidRDefault="00DD3B4E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7A51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47A51" w:rsidRDefault="00DD3B4E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0000"/>
                <w:sz w:val="46"/>
                <w:szCs w:val="46"/>
              </w:rPr>
              <w:t>Conclusioni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47A51" w:rsidRDefault="00747A51">
            <w:pPr>
              <w:spacing w:before="120" w:after="120"/>
              <w:jc w:val="center"/>
            </w:pPr>
          </w:p>
          <w:p w:rsidR="00747A51" w:rsidRDefault="00DD3B4E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:rsidR="00747A51" w:rsidRDefault="001D75BF">
      <w:pPr>
        <w:spacing w:before="120" w:after="120" w:line="33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EC4266" wp14:editId="72BC0464">
            <wp:simplePos x="0" y="0"/>
            <wp:positionH relativeFrom="column">
              <wp:posOffset>4576445</wp:posOffset>
            </wp:positionH>
            <wp:positionV relativeFrom="paragraph">
              <wp:posOffset>341630</wp:posOffset>
            </wp:positionV>
            <wp:extent cx="1914279" cy="1000481"/>
            <wp:effectExtent l="0" t="0" r="0" b="0"/>
            <wp:wrapSquare wrapText="bothSides"/>
            <wp:docPr id="3" name="Drawing 2" descr="628f027e798b6d9f23c2101060fd1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28f027e798b6d9f23c2101060fd11b9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87"/>
                    <a:stretch>
                      <a:fillRect/>
                    </a:stretch>
                  </pic:blipFill>
                  <pic:spPr>
                    <a:xfrm>
                      <a:off x="0" y="0"/>
                      <a:ext cx="1914279" cy="100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B4E">
        <w:rPr>
          <w:rFonts w:ascii="Open Sans" w:eastAsia="Open Sans" w:hAnsi="Open Sans" w:cs="Open Sans"/>
          <w:color w:val="000000"/>
        </w:rPr>
        <w:t xml:space="preserve">L’integrazione della presa in carico con un approccio olistico come </w:t>
      </w:r>
      <w:r w:rsidR="00DD3B4E">
        <w:rPr>
          <w:rFonts w:ascii="Open Sans Bold" w:eastAsia="Open Sans Bold" w:hAnsi="Open Sans Bold" w:cs="Open Sans Bold"/>
          <w:b/>
          <w:bCs/>
          <w:color w:val="000000"/>
        </w:rPr>
        <w:t>PNEI</w:t>
      </w:r>
      <w:r w:rsidR="00DD3B4E">
        <w:rPr>
          <w:rFonts w:ascii="Open Sans" w:eastAsia="Open Sans" w:hAnsi="Open Sans" w:cs="Open Sans"/>
          <w:color w:val="000000"/>
        </w:rPr>
        <w:t xml:space="preserve"> nel percorso del paziente trapiantato consente di modulare stress, infiammazione e immunità, migliorando stabilità del </w:t>
      </w:r>
      <w:proofErr w:type="spellStart"/>
      <w:r w:rsidR="00DD3B4E">
        <w:rPr>
          <w:rFonts w:ascii="Open Sans" w:eastAsia="Open Sans" w:hAnsi="Open Sans" w:cs="Open Sans"/>
          <w:color w:val="000000"/>
        </w:rPr>
        <w:t>graft</w:t>
      </w:r>
      <w:proofErr w:type="spellEnd"/>
      <w:r w:rsidR="00DD3B4E">
        <w:rPr>
          <w:rFonts w:ascii="Open Sans" w:eastAsia="Open Sans" w:hAnsi="Open Sans" w:cs="Open Sans"/>
          <w:color w:val="000000"/>
        </w:rPr>
        <w:t xml:space="preserve"> e qualità di vita. La </w:t>
      </w:r>
      <w:r w:rsidR="00DD3B4E">
        <w:rPr>
          <w:rFonts w:ascii="Open Sans Bold" w:eastAsia="Open Sans Bold" w:hAnsi="Open Sans Bold" w:cs="Open Sans Bold"/>
          <w:b/>
          <w:bCs/>
          <w:color w:val="000000"/>
        </w:rPr>
        <w:t>nutrizione</w:t>
      </w:r>
      <w:r w:rsidR="00DD3B4E">
        <w:rPr>
          <w:rFonts w:ascii="Open Sans" w:eastAsia="Open Sans" w:hAnsi="Open Sans" w:cs="Open Sans"/>
          <w:color w:val="000000"/>
        </w:rPr>
        <w:t>, insieme alla guida clini</w:t>
      </w:r>
      <w:r w:rsidR="00DD3B4E">
        <w:rPr>
          <w:rFonts w:ascii="Open Sans" w:eastAsia="Open Sans" w:hAnsi="Open Sans" w:cs="Open Sans"/>
          <w:color w:val="000000"/>
        </w:rPr>
        <w:t xml:space="preserve">ca ed educativa degli </w:t>
      </w:r>
      <w:r w:rsidR="00DD3B4E">
        <w:rPr>
          <w:rFonts w:ascii="Open Sans Bold" w:eastAsia="Open Sans Bold" w:hAnsi="Open Sans Bold" w:cs="Open Sans Bold"/>
          <w:b/>
          <w:bCs/>
          <w:color w:val="000000"/>
        </w:rPr>
        <w:t>infermieri</w:t>
      </w:r>
      <w:r w:rsidR="00DD3B4E">
        <w:rPr>
          <w:rFonts w:ascii="Open Sans" w:eastAsia="Open Sans" w:hAnsi="Open Sans" w:cs="Open Sans"/>
          <w:color w:val="000000"/>
        </w:rPr>
        <w:t xml:space="preserve">, rappresenta un intervento essenziale per sostenere metabolismo, risposta immunitaria e continuità assistenziale. </w:t>
      </w:r>
    </w:p>
    <w:p w:rsidR="00747A51" w:rsidRDefault="00DD3B4E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</w:p>
    <w:sectPr w:rsidR="00747A51">
      <w:pgSz w:w="11910" w:h="16845"/>
      <w:pgMar w:top="1417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63E37B9-5E98-41AA-8A02-C97DF33C4585}"/>
  </w:font>
  <w:font w:name="Open Sans">
    <w:charset w:val="00"/>
    <w:family w:val="auto"/>
    <w:pitch w:val="default"/>
    <w:embedRegular r:id="rId2" w:fontKey="{E6A1FB72-B283-495A-B7BF-8FCFE6158F4C}"/>
  </w:font>
  <w:font w:name="Open Sans Bold">
    <w:altName w:val="DaxCompact-Bold"/>
    <w:charset w:val="00"/>
    <w:family w:val="auto"/>
    <w:pitch w:val="default"/>
    <w:embedBold r:id="rId3" w:fontKey="{C961CECA-9D5A-4995-AA01-904F62E978E9}"/>
  </w:font>
  <w:font w:name="Arimo">
    <w:charset w:val="00"/>
    <w:family w:val="auto"/>
    <w:pitch w:val="default"/>
    <w:embedRegular r:id="rId4" w:fontKey="{29F571FD-5851-4625-BE20-208D9838989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C04551E6-5305-445D-90C3-3DCA50EAC15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31055"/>
    <w:multiLevelType w:val="hybridMultilevel"/>
    <w:tmpl w:val="80A0E698"/>
    <w:lvl w:ilvl="0" w:tplc="D6449F9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098846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AC4568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EBE1B0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4504C7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C52DA2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8BE5A8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E5E4E1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C889AEA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283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A51"/>
    <w:rsid w:val="001D75BF"/>
    <w:rsid w:val="00333480"/>
    <w:rsid w:val="00661111"/>
    <w:rsid w:val="00747A51"/>
    <w:rsid w:val="00DD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BED37"/>
  <w15:docId w15:val="{70814283-E3F5-48D9-A8E4-07886817B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Azienda Socio Sanitaria Territoriale (ASST) Di Monza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Noemi Lanzetta</cp:lastModifiedBy>
  <cp:revision>2</cp:revision>
  <dcterms:created xsi:type="dcterms:W3CDTF">2025-12-05T08:52:00Z</dcterms:created>
  <dcterms:modified xsi:type="dcterms:W3CDTF">2025-12-05T08:52:00Z</dcterms:modified>
</cp:coreProperties>
</file>