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D3" w:rsidRPr="00556FD3" w:rsidRDefault="00556FD3" w:rsidP="00556FD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Leadership infermieristica e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Lean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Thinking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nel percorso Fast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Track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per il trapianto di fegato</w:t>
      </w:r>
    </w:p>
    <w:p w:rsidR="00556FD3" w:rsidRDefault="00556FD3" w:rsidP="00556FD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it-IT"/>
        </w:rPr>
      </w:pPr>
      <w:r w:rsidRPr="00556FD3">
        <w:rPr>
          <w:rFonts w:eastAsia="Times New Roman" w:cstheme="minorHAnsi"/>
          <w:sz w:val="32"/>
          <w:szCs w:val="32"/>
          <w:lang w:eastAsia="it-IT"/>
        </w:rPr>
        <w:t xml:space="preserve">Il presente studio analizza il ruolo della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leadership infermieristica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nell’applicazione del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Lean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Thinking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al percorso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Fast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Track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dei pazienti candidati a trapianto di fegato presso la Fondazione IRCCS Ca’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Granda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– Ospedale Maggiore Policlinico di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Milano.L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’obiettivo è valutare come l’approccio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lean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, supportato da una leadership infermieristica efficace, possa migliorare la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qualità dell’assistenza</w:t>
      </w:r>
      <w:r w:rsidRPr="00556FD3">
        <w:rPr>
          <w:rFonts w:eastAsia="Times New Roman" w:cstheme="minorHAnsi"/>
          <w:sz w:val="32"/>
          <w:szCs w:val="32"/>
          <w:lang w:eastAsia="it-IT"/>
        </w:rPr>
        <w:t>, l’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efficienza organizzativa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e la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soddisfazione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di pazienti e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operatori.La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ricerca adotta un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disegno misto (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mixed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methods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)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, con analisi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pre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e post intervento, questionari strutturati e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audit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di processo.</w:t>
      </w:r>
      <w:r w:rsidRPr="00556FD3">
        <w:rPr>
          <w:rFonts w:eastAsia="Times New Roman" w:cstheme="minorHAnsi"/>
          <w:sz w:val="32"/>
          <w:szCs w:val="32"/>
          <w:lang w:eastAsia="it-IT"/>
        </w:rPr>
        <w:br/>
        <w:t xml:space="preserve">I dati mostrano una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riduzione dei tempi medi di valutazione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pre-trapianto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da 150 a 60 giorni (-60%), un aumento della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soddisfazione dei pazienti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(+34,3%) e degli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operatori sanitari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(+36,7%), oltre a un incremento della percezione di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coordinamento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e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qualità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assistenziale</w:t>
      </w:r>
      <w:r w:rsidRPr="00556FD3">
        <w:rPr>
          <w:rFonts w:eastAsia="Times New Roman" w:cstheme="minorHAnsi"/>
          <w:sz w:val="32"/>
          <w:szCs w:val="32"/>
          <w:lang w:eastAsia="it-IT"/>
        </w:rPr>
        <w:t>.L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’applicazione del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Lean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Thinking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ha permesso di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eliminare attività a basso valore aggiunto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, ottimizzare i flussi di lavoro e promuovere una cultura del miglioramento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continuo.La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leadership infermieristica si  conferma elemento chiave  nella </w:t>
      </w:r>
      <w:r w:rsidRPr="00556FD3">
        <w:rPr>
          <w:rFonts w:eastAsia="Times New Roman" w:cstheme="minorHAnsi"/>
          <w:b/>
          <w:sz w:val="32"/>
          <w:szCs w:val="32"/>
          <w:lang w:eastAsia="it-IT"/>
        </w:rPr>
        <w:t>gestione del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cambiamento</w:t>
      </w:r>
      <w:r w:rsidRPr="00556FD3">
        <w:rPr>
          <w:rFonts w:eastAsia="Times New Roman" w:cstheme="minorHAnsi"/>
          <w:b/>
          <w:sz w:val="32"/>
          <w:szCs w:val="32"/>
          <w:lang w:eastAsia="it-IT"/>
        </w:rPr>
        <w:t>,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favorendo il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coinvolgimento del team multidisciplinare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e la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comunicazione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interprofessionale</w:t>
      </w:r>
      <w:r w:rsidRPr="00556FD3">
        <w:rPr>
          <w:rFonts w:eastAsia="Times New Roman" w:cstheme="minorHAnsi"/>
          <w:sz w:val="32"/>
          <w:szCs w:val="32"/>
          <w:lang w:eastAsia="it-IT"/>
        </w:rPr>
        <w:t>.In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conclusione, il modello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Lean-Fast</w:t>
      </w:r>
      <w:proofErr w:type="spellEnd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</w:t>
      </w:r>
      <w:proofErr w:type="spellStart"/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Track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, sostenuto da una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leadership infermieristica proattiva e competente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, rappresenta una strategia efficace per innovare i processi assistenziali e garantire elevati standard di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qualità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e </w:t>
      </w: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sicurezza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nei percorsi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trapiantologici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complessi.</w:t>
      </w:r>
    </w:p>
    <w:p w:rsidR="00556FD3" w:rsidRPr="00556FD3" w:rsidRDefault="00556FD3" w:rsidP="00556FD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it-IT"/>
        </w:rPr>
      </w:pPr>
      <w:r w:rsidRPr="00556FD3">
        <w:rPr>
          <w:rFonts w:eastAsia="Times New Roman" w:cstheme="minorHAnsi"/>
          <w:b/>
          <w:bCs/>
          <w:sz w:val="32"/>
          <w:szCs w:val="32"/>
          <w:lang w:eastAsia="it-IT"/>
        </w:rPr>
        <w:t>Parole chiave:</w:t>
      </w:r>
      <w:r w:rsidRPr="00556FD3">
        <w:rPr>
          <w:rFonts w:eastAsia="Times New Roman" w:cstheme="minorHAnsi"/>
          <w:sz w:val="32"/>
          <w:szCs w:val="32"/>
          <w:lang w:eastAsia="it-IT"/>
        </w:rPr>
        <w:t xml:space="preserve"> Leadership infermieristica,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Lean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Thinking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 xml:space="preserve">, Fast </w:t>
      </w:r>
      <w:proofErr w:type="spellStart"/>
      <w:r w:rsidRPr="00556FD3">
        <w:rPr>
          <w:rFonts w:eastAsia="Times New Roman" w:cstheme="minorHAnsi"/>
          <w:sz w:val="32"/>
          <w:szCs w:val="32"/>
          <w:lang w:eastAsia="it-IT"/>
        </w:rPr>
        <w:t>Track</w:t>
      </w:r>
      <w:proofErr w:type="spellEnd"/>
      <w:r w:rsidRPr="00556FD3">
        <w:rPr>
          <w:rFonts w:eastAsia="Times New Roman" w:cstheme="minorHAnsi"/>
          <w:sz w:val="32"/>
          <w:szCs w:val="32"/>
          <w:lang w:eastAsia="it-IT"/>
        </w:rPr>
        <w:t>, trapianto di fegato, qualità assistenziale, miglioramento organizzativo.</w:t>
      </w:r>
    </w:p>
    <w:p w:rsidR="00667A3B" w:rsidRPr="00556FD3" w:rsidRDefault="00667A3B">
      <w:pPr>
        <w:rPr>
          <w:rFonts w:cstheme="minorHAnsi"/>
          <w:sz w:val="32"/>
          <w:szCs w:val="32"/>
        </w:rPr>
      </w:pPr>
    </w:p>
    <w:p w:rsidR="00556FD3" w:rsidRDefault="00556FD3"/>
    <w:sectPr w:rsidR="00556FD3" w:rsidSect="00667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6FD3"/>
    <w:rsid w:val="00556FD3"/>
    <w:rsid w:val="0066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A3B"/>
  </w:style>
  <w:style w:type="paragraph" w:styleId="Titolo2">
    <w:name w:val="heading 2"/>
    <w:basedOn w:val="Normale"/>
    <w:link w:val="Titolo2Carattere"/>
    <w:uiPriority w:val="9"/>
    <w:qFormat/>
    <w:rsid w:val="00556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56FD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56FD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5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>Fondazione IRCCS Ca'Granda Ospedale Maggiore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martha_esposito</dc:creator>
  <cp:lastModifiedBy>martha_esposito</cp:lastModifiedBy>
  <cp:revision>2</cp:revision>
  <dcterms:created xsi:type="dcterms:W3CDTF">2025-11-12T18:53:00Z</dcterms:created>
  <dcterms:modified xsi:type="dcterms:W3CDTF">2025-11-12T18:53:00Z</dcterms:modified>
</cp:coreProperties>
</file>