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4516" w14:textId="77777777" w:rsidR="00027242" w:rsidRPr="000625D2"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 xml:space="preserve">Title </w:t>
      </w:r>
    </w:p>
    <w:p w14:paraId="4ECE4A82" w14:textId="5B0D3185" w:rsidR="000625D2" w:rsidRPr="000625D2" w:rsidRDefault="000625D2" w:rsidP="000625D2">
      <w:pPr>
        <w:jc w:val="both"/>
        <w:rPr>
          <w:rFonts w:ascii="Helvetica Neue" w:eastAsiaTheme="minorHAnsi" w:hAnsi="Helvetica Neue" w:cs="Helvetica Neue"/>
          <w:color w:val="000000"/>
          <w:sz w:val="20"/>
          <w:szCs w:val="20"/>
          <w:lang w:val="en-GB" w:eastAsia="en-US"/>
        </w:rPr>
      </w:pPr>
      <w:r w:rsidRPr="000625D2">
        <w:rPr>
          <w:rFonts w:ascii="Helvetica Neue" w:eastAsiaTheme="minorHAnsi" w:hAnsi="Helvetica Neue" w:cs="Helvetica Neue"/>
          <w:color w:val="000000"/>
          <w:sz w:val="20"/>
          <w:szCs w:val="20"/>
          <w:lang w:val="en-GB" w:eastAsia="en-US"/>
        </w:rPr>
        <w:t>Impact of extracorporeal blood flow targets on celiac trunk blood flow during abdominal normothermic regional perfusion</w:t>
      </w:r>
    </w:p>
    <w:p w14:paraId="544E3EDB" w14:textId="77777777" w:rsidR="000625D2" w:rsidRPr="000625D2" w:rsidRDefault="000625D2" w:rsidP="00027242">
      <w:pPr>
        <w:rPr>
          <w:rFonts w:ascii="Helvetica Neue" w:hAnsi="Helvetica Neue"/>
          <w:color w:val="3F3F3F"/>
          <w:sz w:val="20"/>
          <w:szCs w:val="20"/>
        </w:rPr>
      </w:pPr>
    </w:p>
    <w:p w14:paraId="24CD9FDC" w14:textId="77777777" w:rsidR="00027242" w:rsidRPr="000625D2"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First and Presenting author</w:t>
      </w:r>
    </w:p>
    <w:p w14:paraId="7F7A7955" w14:textId="77777777" w:rsidR="00027242" w:rsidRPr="00872B9D" w:rsidRDefault="00027242" w:rsidP="00027242">
      <w:pPr>
        <w:rPr>
          <w:rFonts w:ascii="Helvetica Neue" w:hAnsi="Helvetica Neue"/>
          <w:i/>
          <w:iCs/>
          <w:color w:val="3F3F3F"/>
          <w:sz w:val="20"/>
          <w:szCs w:val="20"/>
        </w:rPr>
      </w:pPr>
      <w:r w:rsidRPr="00872B9D">
        <w:rPr>
          <w:rFonts w:ascii="Helvetica Neue" w:hAnsi="Helvetica Neue"/>
          <w:i/>
          <w:iCs/>
          <w:color w:val="3F3F3F"/>
          <w:sz w:val="20"/>
          <w:szCs w:val="20"/>
        </w:rPr>
        <w:t>Marta Velia Antonini MSc m.antonini@unibo.it</w:t>
      </w:r>
    </w:p>
    <w:p w14:paraId="188DBDD9" w14:textId="77777777" w:rsidR="00027242" w:rsidRPr="00872B9D" w:rsidRDefault="00027242" w:rsidP="00027242">
      <w:pPr>
        <w:rPr>
          <w:rFonts w:ascii="Helvetica Neue" w:hAnsi="Helvetica Neue"/>
          <w:color w:val="3F3F3F"/>
          <w:sz w:val="20"/>
          <w:szCs w:val="20"/>
        </w:rPr>
      </w:pPr>
      <w:r w:rsidRPr="00872B9D">
        <w:rPr>
          <w:rFonts w:ascii="Helvetica Neue" w:hAnsi="Helvetica Neue"/>
          <w:color w:val="3F3F3F"/>
          <w:sz w:val="20"/>
          <w:szCs w:val="20"/>
        </w:rPr>
        <w:t>Department of Medical and Surgical Sciences (DIMEC), University of Bologna, Bologna, Italy</w:t>
      </w:r>
    </w:p>
    <w:p w14:paraId="10B8ED00" w14:textId="77777777" w:rsidR="00027242" w:rsidRPr="000625D2" w:rsidRDefault="00027242" w:rsidP="00027242">
      <w:pPr>
        <w:rPr>
          <w:rFonts w:ascii="Helvetica Neue" w:hAnsi="Helvetica Neue"/>
          <w:b/>
          <w:bCs/>
          <w:color w:val="3F3F3F"/>
          <w:sz w:val="20"/>
          <w:szCs w:val="20"/>
          <w:lang w:val="it-IT"/>
        </w:rPr>
      </w:pPr>
      <w:r w:rsidRPr="00872B9D">
        <w:rPr>
          <w:rFonts w:ascii="Helvetica Neue" w:hAnsi="Helvetica Neue"/>
          <w:color w:val="3F3F3F"/>
          <w:sz w:val="20"/>
          <w:szCs w:val="20"/>
        </w:rPr>
        <w:t>Intensive Care Unit, Bufalini Hospital, AUSL della Romagna, Cesena, Italy</w:t>
      </w:r>
    </w:p>
    <w:p w14:paraId="2168D133" w14:textId="77777777" w:rsidR="00027242" w:rsidRPr="000625D2" w:rsidRDefault="00027242" w:rsidP="00027242">
      <w:pPr>
        <w:rPr>
          <w:rFonts w:ascii="Helvetica Neue" w:hAnsi="Helvetica Neue"/>
          <w:color w:val="3F3F3F"/>
          <w:sz w:val="20"/>
          <w:szCs w:val="20"/>
          <w:lang w:val="it-IT"/>
        </w:rPr>
      </w:pPr>
    </w:p>
    <w:p w14:paraId="4D2E4DD8" w14:textId="77777777" w:rsidR="00027242" w:rsidRPr="00872B9D" w:rsidRDefault="00027242" w:rsidP="00027242">
      <w:pPr>
        <w:rPr>
          <w:rFonts w:ascii="Helvetica Neue" w:hAnsi="Helvetica Neue"/>
          <w:b/>
          <w:bCs/>
          <w:color w:val="3F3F3F"/>
          <w:sz w:val="20"/>
          <w:szCs w:val="20"/>
          <w:lang w:val="it-IT"/>
        </w:rPr>
      </w:pPr>
      <w:r w:rsidRPr="000625D2">
        <w:rPr>
          <w:rFonts w:ascii="Helvetica Neue" w:hAnsi="Helvetica Neue"/>
          <w:b/>
          <w:bCs/>
          <w:color w:val="3F3F3F"/>
          <w:sz w:val="20"/>
          <w:szCs w:val="20"/>
          <w:lang w:val="it-IT"/>
        </w:rPr>
        <w:t>Co-authors</w:t>
      </w:r>
    </w:p>
    <w:p w14:paraId="704CE245" w14:textId="53C67C84" w:rsidR="000625D2" w:rsidRPr="000625D2" w:rsidRDefault="000625D2" w:rsidP="00027242">
      <w:pPr>
        <w:rPr>
          <w:rFonts w:ascii="Helvetica Neue" w:hAnsi="Helvetica Neue"/>
          <w:color w:val="3F3F3F"/>
          <w:sz w:val="20"/>
          <w:szCs w:val="20"/>
        </w:rPr>
      </w:pPr>
      <w:r w:rsidRPr="000625D2">
        <w:rPr>
          <w:rFonts w:ascii="Helvetica Neue" w:hAnsi="Helvetica Neue"/>
          <w:i/>
          <w:iCs/>
          <w:color w:val="3F3F3F"/>
          <w:sz w:val="20"/>
          <w:szCs w:val="20"/>
        </w:rPr>
        <w:t>Lorenzo Viola</w:t>
      </w:r>
      <w:r w:rsidRPr="000625D2">
        <w:rPr>
          <w:rFonts w:ascii="Helvetica Neue" w:hAnsi="Helvetica Neue"/>
          <w:i/>
          <w:iCs/>
          <w:color w:val="3F3F3F"/>
          <w:sz w:val="20"/>
          <w:szCs w:val="20"/>
          <w:vertAlign w:val="superscript"/>
          <w:lang w:val="it-IT"/>
        </w:rPr>
        <w:t xml:space="preserve"> </w:t>
      </w:r>
      <w:r w:rsidRPr="00872B9D">
        <w:rPr>
          <w:rFonts w:ascii="Helvetica Neue" w:hAnsi="Helvetica Neue"/>
          <w:i/>
          <w:iCs/>
          <w:color w:val="3F3F3F"/>
          <w:sz w:val="20"/>
          <w:szCs w:val="20"/>
        </w:rPr>
        <w:t>M</w:t>
      </w:r>
      <w:r w:rsidRPr="000625D2">
        <w:rPr>
          <w:rFonts w:ascii="Helvetica Neue" w:hAnsi="Helvetica Neue"/>
          <w:i/>
          <w:iCs/>
          <w:color w:val="3F3F3F"/>
          <w:sz w:val="20"/>
          <w:szCs w:val="20"/>
          <w:lang w:val="it-IT"/>
        </w:rPr>
        <w:t xml:space="preserve">D </w:t>
      </w:r>
      <w:r w:rsidRPr="000625D2">
        <w:rPr>
          <w:rFonts w:ascii="Helvetica Neue" w:hAnsi="Helvetica Neue"/>
          <w:color w:val="3F3F3F"/>
          <w:sz w:val="20"/>
          <w:szCs w:val="20"/>
        </w:rPr>
        <w:t>Azienda Ospedaliera S.Croce e Carle, Anesthesia and Intensive Care Unit, Cuneo, Italy</w:t>
      </w:r>
    </w:p>
    <w:p w14:paraId="2562B2FC" w14:textId="77777777" w:rsidR="000625D2" w:rsidRPr="00872B9D" w:rsidRDefault="000625D2" w:rsidP="000625D2">
      <w:pPr>
        <w:rPr>
          <w:rFonts w:ascii="Helvetica Neue" w:hAnsi="Helvetica Neue"/>
          <w:i/>
          <w:iCs/>
          <w:color w:val="3F3F3F"/>
          <w:sz w:val="20"/>
          <w:szCs w:val="20"/>
        </w:rPr>
      </w:pPr>
      <w:r w:rsidRPr="000625D2">
        <w:rPr>
          <w:rFonts w:ascii="Helvetica Neue" w:hAnsi="Helvetica Neue"/>
          <w:i/>
          <w:iCs/>
          <w:color w:val="3F3F3F"/>
          <w:sz w:val="20"/>
          <w:szCs w:val="20"/>
          <w:lang w:val="it-IT"/>
        </w:rPr>
        <w:t>Mattia</w:t>
      </w:r>
      <w:r w:rsidRPr="00872B9D">
        <w:rPr>
          <w:rFonts w:ascii="Helvetica Neue" w:hAnsi="Helvetica Neue"/>
          <w:i/>
          <w:iCs/>
          <w:color w:val="3F3F3F"/>
          <w:sz w:val="20"/>
          <w:szCs w:val="20"/>
        </w:rPr>
        <w:t xml:space="preserve"> </w:t>
      </w:r>
      <w:r w:rsidRPr="000625D2">
        <w:rPr>
          <w:rFonts w:ascii="Helvetica Neue" w:hAnsi="Helvetica Neue"/>
          <w:i/>
          <w:iCs/>
          <w:color w:val="3F3F3F"/>
          <w:sz w:val="20"/>
          <w:szCs w:val="20"/>
          <w:lang w:val="it-IT"/>
        </w:rPr>
        <w:t>Carnelli</w:t>
      </w:r>
      <w:r w:rsidRPr="00872B9D">
        <w:rPr>
          <w:rFonts w:ascii="Helvetica Neue" w:hAnsi="Helvetica Neue"/>
          <w:i/>
          <w:iCs/>
          <w:color w:val="3F3F3F"/>
          <w:sz w:val="20"/>
          <w:szCs w:val="20"/>
        </w:rPr>
        <w:t xml:space="preserve"> MD </w:t>
      </w:r>
      <w:r w:rsidRPr="00872B9D">
        <w:rPr>
          <w:rFonts w:ascii="Helvetica Neue" w:hAnsi="Helvetica Neue"/>
          <w:color w:val="3F3F3F"/>
          <w:sz w:val="20"/>
          <w:szCs w:val="20"/>
        </w:rPr>
        <w:t>Intensive Care Unit, Bufalini Hospital, AUSL della Romagna, Cesena, Italy</w:t>
      </w:r>
    </w:p>
    <w:p w14:paraId="025BB6D2" w14:textId="4B0F8435" w:rsidR="000625D2" w:rsidRPr="00872B9D" w:rsidRDefault="000625D2" w:rsidP="000625D2">
      <w:pPr>
        <w:rPr>
          <w:rFonts w:ascii="Helvetica Neue" w:hAnsi="Helvetica Neue"/>
          <w:color w:val="3F3F3F"/>
          <w:sz w:val="20"/>
          <w:szCs w:val="20"/>
        </w:rPr>
      </w:pPr>
      <w:r w:rsidRPr="000625D2">
        <w:rPr>
          <w:rFonts w:ascii="Helvetica Neue" w:hAnsi="Helvetica Neue"/>
          <w:i/>
          <w:iCs/>
          <w:color w:val="3F3F3F"/>
          <w:sz w:val="20"/>
          <w:szCs w:val="20"/>
          <w:lang w:val="it-IT"/>
        </w:rPr>
        <w:t>Giuliano Bolondi</w:t>
      </w:r>
      <w:r w:rsidRPr="00872B9D">
        <w:rPr>
          <w:rFonts w:ascii="Helvetica Neue" w:hAnsi="Helvetica Neue"/>
          <w:i/>
          <w:iCs/>
          <w:color w:val="3F3F3F"/>
          <w:sz w:val="20"/>
          <w:szCs w:val="20"/>
        </w:rPr>
        <w:t xml:space="preserve"> MD </w:t>
      </w:r>
      <w:r w:rsidRPr="00872B9D">
        <w:rPr>
          <w:rFonts w:ascii="Helvetica Neue" w:hAnsi="Helvetica Neue"/>
          <w:color w:val="3F3F3F"/>
          <w:sz w:val="20"/>
          <w:szCs w:val="20"/>
        </w:rPr>
        <w:t xml:space="preserve">Intensive Care Unit, </w:t>
      </w:r>
      <w:r w:rsidRPr="000625D2">
        <w:rPr>
          <w:rFonts w:ascii="Helvetica Neue" w:hAnsi="Helvetica Neue"/>
          <w:color w:val="3F3F3F"/>
          <w:sz w:val="20"/>
          <w:szCs w:val="20"/>
          <w:lang w:val="it-IT"/>
        </w:rPr>
        <w:t>Ospedale Civile di</w:t>
      </w:r>
      <w:r w:rsidRPr="00872B9D">
        <w:rPr>
          <w:rFonts w:ascii="Helvetica Neue" w:hAnsi="Helvetica Neue"/>
          <w:color w:val="3F3F3F"/>
          <w:sz w:val="20"/>
          <w:szCs w:val="20"/>
        </w:rPr>
        <w:t xml:space="preserve"> </w:t>
      </w:r>
      <w:r w:rsidRPr="000625D2">
        <w:rPr>
          <w:rFonts w:ascii="Helvetica Neue" w:hAnsi="Helvetica Neue"/>
          <w:color w:val="3F3F3F"/>
          <w:sz w:val="20"/>
          <w:szCs w:val="20"/>
          <w:lang w:val="it-IT"/>
        </w:rPr>
        <w:t>Baggiovara</w:t>
      </w:r>
      <w:r w:rsidRPr="00872B9D">
        <w:rPr>
          <w:rFonts w:ascii="Helvetica Neue" w:hAnsi="Helvetica Neue"/>
          <w:color w:val="3F3F3F"/>
          <w:sz w:val="20"/>
          <w:szCs w:val="20"/>
        </w:rPr>
        <w:t xml:space="preserve">, </w:t>
      </w:r>
      <w:r w:rsidRPr="000625D2">
        <w:rPr>
          <w:rFonts w:ascii="Helvetica Neue" w:hAnsi="Helvetica Neue"/>
          <w:color w:val="3F3F3F"/>
          <w:sz w:val="20"/>
          <w:szCs w:val="20"/>
          <w:lang w:val="it-IT"/>
        </w:rPr>
        <w:t>AOU</w:t>
      </w:r>
      <w:r w:rsidRPr="00872B9D">
        <w:rPr>
          <w:rFonts w:ascii="Helvetica Neue" w:hAnsi="Helvetica Neue"/>
          <w:color w:val="3F3F3F"/>
          <w:sz w:val="20"/>
          <w:szCs w:val="20"/>
        </w:rPr>
        <w:t xml:space="preserve"> </w:t>
      </w:r>
      <w:r w:rsidRPr="000625D2">
        <w:rPr>
          <w:rFonts w:ascii="Helvetica Neue" w:hAnsi="Helvetica Neue"/>
          <w:color w:val="3F3F3F"/>
          <w:sz w:val="20"/>
          <w:szCs w:val="20"/>
          <w:lang w:val="it-IT"/>
        </w:rPr>
        <w:t>Modena</w:t>
      </w:r>
      <w:r w:rsidRPr="00872B9D">
        <w:rPr>
          <w:rFonts w:ascii="Helvetica Neue" w:hAnsi="Helvetica Neue"/>
          <w:color w:val="3F3F3F"/>
          <w:sz w:val="20"/>
          <w:szCs w:val="20"/>
        </w:rPr>
        <w:t xml:space="preserve">, </w:t>
      </w:r>
      <w:r w:rsidRPr="000625D2">
        <w:rPr>
          <w:rFonts w:ascii="Helvetica Neue" w:hAnsi="Helvetica Neue"/>
          <w:color w:val="3F3F3F"/>
          <w:sz w:val="20"/>
          <w:szCs w:val="20"/>
          <w:lang w:val="it-IT"/>
        </w:rPr>
        <w:t>Modena</w:t>
      </w:r>
      <w:r w:rsidRPr="00872B9D">
        <w:rPr>
          <w:rFonts w:ascii="Helvetica Neue" w:hAnsi="Helvetica Neue"/>
          <w:color w:val="3F3F3F"/>
          <w:sz w:val="20"/>
          <w:szCs w:val="20"/>
        </w:rPr>
        <w:t>, Italy</w:t>
      </w:r>
    </w:p>
    <w:p w14:paraId="5B5DCAB1" w14:textId="4A0EB827" w:rsidR="000625D2" w:rsidRPr="000625D2" w:rsidRDefault="000625D2" w:rsidP="000625D2">
      <w:pPr>
        <w:rPr>
          <w:rFonts w:ascii="Helvetica Neue" w:hAnsi="Helvetica Neue"/>
          <w:i/>
          <w:iCs/>
          <w:color w:val="3F3F3F"/>
          <w:sz w:val="20"/>
          <w:szCs w:val="20"/>
        </w:rPr>
      </w:pPr>
      <w:r w:rsidRPr="000625D2">
        <w:rPr>
          <w:rFonts w:ascii="Helvetica Neue" w:hAnsi="Helvetica Neue"/>
          <w:i/>
          <w:iCs/>
          <w:color w:val="3F3F3F"/>
          <w:sz w:val="20"/>
          <w:szCs w:val="20"/>
          <w:lang w:val="it-IT"/>
        </w:rPr>
        <w:t>Luca Bastia</w:t>
      </w:r>
      <w:r w:rsidRPr="00872B9D">
        <w:rPr>
          <w:rFonts w:ascii="Helvetica Neue" w:hAnsi="Helvetica Neue"/>
          <w:i/>
          <w:iCs/>
          <w:color w:val="3F3F3F"/>
          <w:sz w:val="20"/>
          <w:szCs w:val="20"/>
        </w:rPr>
        <w:t xml:space="preserve"> MD </w:t>
      </w:r>
      <w:r w:rsidRPr="00872B9D">
        <w:rPr>
          <w:rFonts w:ascii="Helvetica Neue" w:hAnsi="Helvetica Neue"/>
          <w:color w:val="3F3F3F"/>
          <w:sz w:val="20"/>
          <w:szCs w:val="20"/>
        </w:rPr>
        <w:t>Intensive Care Unit, Bufalini Hospital, AUSL della Romagna, Cesena, Italy</w:t>
      </w:r>
    </w:p>
    <w:p w14:paraId="203616AA" w14:textId="356694AE" w:rsidR="000625D2" w:rsidRPr="00872B9D" w:rsidRDefault="000625D2" w:rsidP="000625D2">
      <w:pPr>
        <w:rPr>
          <w:rFonts w:ascii="Helvetica Neue" w:hAnsi="Helvetica Neue"/>
          <w:i/>
          <w:iCs/>
          <w:color w:val="3F3F3F"/>
          <w:sz w:val="20"/>
          <w:szCs w:val="20"/>
        </w:rPr>
      </w:pPr>
      <w:r w:rsidRPr="000625D2">
        <w:rPr>
          <w:rFonts w:ascii="Helvetica Neue" w:hAnsi="Helvetica Neue"/>
          <w:i/>
          <w:iCs/>
          <w:color w:val="3F3F3F"/>
          <w:sz w:val="20"/>
          <w:szCs w:val="20"/>
        </w:rPr>
        <w:t>Giampaolo Orsolini</w:t>
      </w:r>
      <w:r w:rsidRPr="000625D2">
        <w:rPr>
          <w:rFonts w:ascii="Helvetica Neue" w:hAnsi="Helvetica Neue"/>
          <w:i/>
          <w:iCs/>
          <w:color w:val="3F3F3F"/>
          <w:sz w:val="20"/>
          <w:szCs w:val="20"/>
          <w:vertAlign w:val="superscript"/>
          <w:lang w:val="it-IT"/>
        </w:rPr>
        <w:t xml:space="preserve"> </w:t>
      </w:r>
      <w:r w:rsidRPr="00872B9D">
        <w:rPr>
          <w:rFonts w:ascii="Helvetica Neue" w:hAnsi="Helvetica Neue"/>
          <w:i/>
          <w:iCs/>
          <w:color w:val="3F3F3F"/>
          <w:sz w:val="20"/>
          <w:szCs w:val="20"/>
        </w:rPr>
        <w:t xml:space="preserve">MD </w:t>
      </w:r>
      <w:r w:rsidRPr="00872B9D">
        <w:rPr>
          <w:rFonts w:ascii="Helvetica Neue" w:hAnsi="Helvetica Neue"/>
          <w:color w:val="3F3F3F"/>
          <w:sz w:val="20"/>
          <w:szCs w:val="20"/>
        </w:rPr>
        <w:t>Intensive Care Unit, Bufalini Hospital, AUSL della Romagna, Cesena, Italy</w:t>
      </w:r>
    </w:p>
    <w:p w14:paraId="00A3C254" w14:textId="27F2667A" w:rsidR="000625D2" w:rsidRPr="000625D2" w:rsidRDefault="000625D2" w:rsidP="000625D2">
      <w:pPr>
        <w:rPr>
          <w:rFonts w:ascii="Helvetica Neue" w:hAnsi="Helvetica Neue"/>
          <w:i/>
          <w:iCs/>
          <w:color w:val="3F3F3F"/>
          <w:sz w:val="20"/>
          <w:szCs w:val="20"/>
          <w:lang w:val="it-IT"/>
        </w:rPr>
      </w:pPr>
      <w:r w:rsidRPr="000625D2">
        <w:rPr>
          <w:rFonts w:ascii="Helvetica Neue" w:hAnsi="Helvetica Neue"/>
          <w:i/>
          <w:iCs/>
          <w:color w:val="3F3F3F"/>
          <w:sz w:val="20"/>
          <w:szCs w:val="20"/>
        </w:rPr>
        <w:t>Luca Gobbi</w:t>
      </w:r>
      <w:r w:rsidRPr="000625D2">
        <w:rPr>
          <w:rFonts w:ascii="Helvetica Neue" w:hAnsi="Helvetica Neue"/>
          <w:i/>
          <w:iCs/>
          <w:color w:val="3F3F3F"/>
          <w:sz w:val="20"/>
          <w:szCs w:val="20"/>
          <w:vertAlign w:val="superscript"/>
          <w:lang w:val="it-IT"/>
        </w:rPr>
        <w:t xml:space="preserve"> </w:t>
      </w:r>
      <w:r w:rsidRPr="00872B9D">
        <w:rPr>
          <w:rFonts w:ascii="Helvetica Neue" w:hAnsi="Helvetica Neue"/>
          <w:i/>
          <w:iCs/>
          <w:color w:val="3F3F3F"/>
          <w:sz w:val="20"/>
          <w:szCs w:val="20"/>
        </w:rPr>
        <w:t xml:space="preserve">MD </w:t>
      </w:r>
      <w:r w:rsidRPr="00872B9D">
        <w:rPr>
          <w:rFonts w:ascii="Helvetica Neue" w:hAnsi="Helvetica Neue"/>
          <w:color w:val="3F3F3F"/>
          <w:sz w:val="20"/>
          <w:szCs w:val="20"/>
        </w:rPr>
        <w:t>Intensive Care Unit, Bufalini Hospital, AUSL della Romagna, Cesena, Italy</w:t>
      </w:r>
    </w:p>
    <w:p w14:paraId="75551332" w14:textId="7C414DA6" w:rsidR="000625D2" w:rsidRPr="000625D2" w:rsidRDefault="000625D2" w:rsidP="00027242">
      <w:pPr>
        <w:rPr>
          <w:rFonts w:ascii="Helvetica Neue" w:hAnsi="Helvetica Neue"/>
          <w:color w:val="3F3F3F"/>
          <w:sz w:val="20"/>
          <w:szCs w:val="20"/>
        </w:rPr>
      </w:pPr>
      <w:r w:rsidRPr="00872B9D">
        <w:rPr>
          <w:rFonts w:ascii="Helvetica Neue" w:hAnsi="Helvetica Neue"/>
          <w:i/>
          <w:iCs/>
          <w:color w:val="3F3F3F"/>
          <w:sz w:val="20"/>
          <w:szCs w:val="20"/>
        </w:rPr>
        <w:t xml:space="preserve">Vanni Agnoletti Prof </w:t>
      </w:r>
      <w:r w:rsidRPr="000625D2">
        <w:rPr>
          <w:rFonts w:ascii="Helvetica Neue" w:hAnsi="Helvetica Neue"/>
          <w:i/>
          <w:iCs/>
          <w:color w:val="3F3F3F"/>
          <w:sz w:val="20"/>
          <w:szCs w:val="20"/>
          <w:lang w:val="it-IT"/>
        </w:rPr>
        <w:t xml:space="preserve"> </w:t>
      </w:r>
      <w:r w:rsidRPr="00872B9D">
        <w:rPr>
          <w:rFonts w:ascii="Helvetica Neue" w:hAnsi="Helvetica Neue"/>
          <w:color w:val="3F3F3F"/>
          <w:sz w:val="20"/>
          <w:szCs w:val="20"/>
        </w:rPr>
        <w:t>Intensive Care Unit, Bufalini Hospital, AUSL della Romagna, Cesena, Italy</w:t>
      </w:r>
    </w:p>
    <w:p w14:paraId="046D39C7" w14:textId="3C3C6E02" w:rsidR="00027242" w:rsidRPr="00872B9D" w:rsidRDefault="00027242" w:rsidP="00027242">
      <w:pPr>
        <w:rPr>
          <w:rFonts w:ascii="Helvetica Neue" w:hAnsi="Helvetica Neue"/>
          <w:i/>
          <w:iCs/>
          <w:color w:val="3F3F3F"/>
          <w:sz w:val="20"/>
          <w:szCs w:val="20"/>
        </w:rPr>
      </w:pPr>
      <w:r w:rsidRPr="00872B9D">
        <w:rPr>
          <w:rFonts w:ascii="Helvetica Neue" w:hAnsi="Helvetica Neue"/>
          <w:i/>
          <w:iCs/>
          <w:color w:val="3F3F3F"/>
          <w:sz w:val="20"/>
          <w:szCs w:val="20"/>
        </w:rPr>
        <w:t xml:space="preserve">Alessandro Circelli MD </w:t>
      </w:r>
      <w:r w:rsidRPr="00872B9D">
        <w:rPr>
          <w:rFonts w:ascii="Helvetica Neue" w:hAnsi="Helvetica Neue"/>
          <w:color w:val="3F3F3F"/>
          <w:sz w:val="20"/>
          <w:szCs w:val="20"/>
        </w:rPr>
        <w:t>Intensive Care Unit, Bufalini Hospital, AUSL della Romagna, Cesena, Italy</w:t>
      </w:r>
    </w:p>
    <w:p w14:paraId="7C05D247" w14:textId="77777777" w:rsidR="00027242" w:rsidRDefault="00027242" w:rsidP="00027242">
      <w:pPr>
        <w:rPr>
          <w:b/>
          <w:bCs/>
          <w:color w:val="3F3F3F"/>
          <w:sz w:val="22"/>
          <w:szCs w:val="22"/>
          <w:lang w:val="it-IT"/>
        </w:rPr>
      </w:pPr>
    </w:p>
    <w:p w14:paraId="0660E6E2" w14:textId="77777777" w:rsidR="00027242" w:rsidRDefault="00027242" w:rsidP="0002724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Introduction</w:t>
      </w:r>
    </w:p>
    <w:p w14:paraId="536BAA8C" w14:textId="2D6459DA" w:rsidR="000625D2" w:rsidRDefault="000625D2" w:rsidP="000625D2">
      <w:pPr>
        <w:jc w:val="both"/>
        <w:rPr>
          <w:rFonts w:ascii="Helvetica Neue" w:hAnsi="Helvetica Neue" w:cs="Helvetica Neue"/>
          <w:color w:val="323232"/>
          <w:sz w:val="22"/>
          <w:szCs w:val="22"/>
          <w:lang w:val="en-GB"/>
        </w:rPr>
      </w:pPr>
      <w:r w:rsidRPr="000625D2">
        <w:rPr>
          <w:rFonts w:ascii="Helvetica Neue" w:hAnsi="Helvetica Neue" w:cs="Helvetica Neue"/>
          <w:color w:val="323232"/>
          <w:sz w:val="22"/>
          <w:szCs w:val="22"/>
          <w:lang w:val="en-GB"/>
        </w:rPr>
        <w:t xml:space="preserve">The </w:t>
      </w:r>
      <w:r>
        <w:rPr>
          <w:rFonts w:ascii="Helvetica Neue" w:hAnsi="Helvetica Neue" w:cs="Helvetica Neue"/>
          <w:color w:val="323232"/>
          <w:sz w:val="22"/>
          <w:szCs w:val="22"/>
          <w:lang w:val="en-GB"/>
        </w:rPr>
        <w:t xml:space="preserve">target </w:t>
      </w:r>
      <w:r w:rsidRPr="000625D2">
        <w:rPr>
          <w:rFonts w:ascii="Helvetica Neue" w:hAnsi="Helvetica Neue" w:cs="Helvetica Neue"/>
          <w:color w:val="323232"/>
          <w:sz w:val="22"/>
          <w:szCs w:val="22"/>
          <w:lang w:val="en-GB"/>
        </w:rPr>
        <w:t>extracorporeal blood flow (EBF) to be provided during abdominal-normothermic regional perfusion (A-NRP)</w:t>
      </w:r>
      <w:r>
        <w:rPr>
          <w:rFonts w:ascii="Helvetica Neue" w:hAnsi="Helvetica Neue" w:cs="Helvetica Neue"/>
          <w:color w:val="323232"/>
          <w:sz w:val="22"/>
          <w:szCs w:val="22"/>
          <w:lang w:val="en-GB"/>
        </w:rPr>
        <w:t xml:space="preserve"> </w:t>
      </w:r>
      <w:r w:rsidRPr="000625D2">
        <w:rPr>
          <w:rFonts w:ascii="Helvetica Neue" w:hAnsi="Helvetica Neue" w:cs="Helvetica Neue"/>
          <w:color w:val="323232"/>
          <w:sz w:val="22"/>
          <w:szCs w:val="22"/>
          <w:lang w:val="en-GB"/>
        </w:rPr>
        <w:t xml:space="preserve">in donors undergoing circulatory determination of death (DCDDs)  is still debated. </w:t>
      </w:r>
      <w:r>
        <w:rPr>
          <w:rFonts w:ascii="Helvetica Neue" w:hAnsi="Helvetica Neue" w:cs="Helvetica Neue"/>
          <w:color w:val="323232"/>
          <w:sz w:val="22"/>
          <w:szCs w:val="22"/>
          <w:lang w:val="en-GB"/>
        </w:rPr>
        <w:t xml:space="preserve">The </w:t>
      </w:r>
      <w:r w:rsidRPr="000625D2">
        <w:rPr>
          <w:rFonts w:ascii="Helvetica Neue" w:hAnsi="Helvetica Neue" w:cs="Helvetica Neue"/>
          <w:color w:val="323232"/>
          <w:sz w:val="22"/>
          <w:szCs w:val="22"/>
          <w:lang w:val="en-GB"/>
        </w:rPr>
        <w:t>ideal</w:t>
      </w:r>
      <w:r>
        <w:rPr>
          <w:rFonts w:ascii="Helvetica Neue" w:hAnsi="Helvetica Neue" w:cs="Helvetica Neue"/>
          <w:color w:val="323232"/>
          <w:sz w:val="22"/>
          <w:szCs w:val="22"/>
          <w:lang w:val="en-GB"/>
        </w:rPr>
        <w:t xml:space="preserve"> EBF should support an appropriate oxygen delivery (DO</w:t>
      </w:r>
      <w:r w:rsidRPr="000625D2">
        <w:rPr>
          <w:rFonts w:ascii="Helvetica Neue" w:hAnsi="Helvetica Neue" w:cs="Helvetica Neue"/>
          <w:color w:val="323232"/>
          <w:sz w:val="22"/>
          <w:szCs w:val="22"/>
          <w:vertAlign w:val="subscript"/>
          <w:lang w:val="en-GB"/>
        </w:rPr>
        <w:t>2</w:t>
      </w:r>
      <w:r>
        <w:rPr>
          <w:rFonts w:ascii="Helvetica Neue" w:hAnsi="Helvetica Neue" w:cs="Helvetica Neue"/>
          <w:color w:val="323232"/>
          <w:sz w:val="22"/>
          <w:szCs w:val="22"/>
          <w:lang w:val="en-GB"/>
        </w:rPr>
        <w:t>), while preventing hyperperfusion related end-organs damage. Moreover, it should be effectively and safely achieved and maintained, without an excessive need for volume replacement. Lastly, i</w:t>
      </w:r>
      <w:r>
        <w:rPr>
          <w:rFonts w:ascii="Helvetica Neue" w:hAnsi="Helvetica Neue" w:cs="Helvetica Neue"/>
          <w:color w:val="323232"/>
          <w:sz w:val="22"/>
          <w:szCs w:val="22"/>
          <w:lang w:val="en-GB"/>
        </w:rPr>
        <w:t>n the setting of endovascular balloon occlusion</w:t>
      </w:r>
      <w:r>
        <w:rPr>
          <w:rFonts w:ascii="Helvetica Neue" w:hAnsi="Helvetica Neue" w:cs="Helvetica Neue"/>
          <w:color w:val="323232"/>
          <w:sz w:val="22"/>
          <w:szCs w:val="22"/>
          <w:lang w:val="en-GB"/>
        </w:rPr>
        <w:t xml:space="preserve"> of the aorta (EBOA)</w:t>
      </w:r>
      <w:r>
        <w:rPr>
          <w:rFonts w:ascii="Helvetica Neue" w:hAnsi="Helvetica Neue" w:cs="Helvetica Neue"/>
          <w:color w:val="323232"/>
          <w:sz w:val="22"/>
          <w:szCs w:val="22"/>
          <w:lang w:val="en-GB"/>
        </w:rPr>
        <w:t>, the retrograde EBF</w:t>
      </w:r>
      <w:r>
        <w:rPr>
          <w:rFonts w:ascii="Helvetica Neue" w:hAnsi="Helvetica Neue" w:cs="Helvetica Neue"/>
          <w:color w:val="323232"/>
          <w:sz w:val="22"/>
          <w:szCs w:val="22"/>
          <w:lang w:val="en-GB"/>
        </w:rPr>
        <w:t xml:space="preserve"> should not be high enough to impair regionalization effectiveness. </w:t>
      </w:r>
    </w:p>
    <w:p w14:paraId="549F69B7" w14:textId="100A53B7" w:rsidR="000625D2" w:rsidRPr="000625D2" w:rsidRDefault="000625D2" w:rsidP="000625D2">
      <w:pPr>
        <w:jc w:val="both"/>
        <w:rPr>
          <w:rFonts w:ascii="Helvetica Neue" w:hAnsi="Helvetica Neue" w:cs="Helvetica Neue"/>
          <w:color w:val="323232"/>
          <w:sz w:val="22"/>
          <w:szCs w:val="22"/>
          <w:lang w:val="en-GB"/>
        </w:rPr>
      </w:pPr>
      <w:r w:rsidRPr="000625D2">
        <w:rPr>
          <w:rFonts w:ascii="Helvetica Neue" w:hAnsi="Helvetica Neue" w:cs="Helvetica Neue"/>
          <w:color w:val="323232"/>
          <w:sz w:val="22"/>
          <w:szCs w:val="22"/>
          <w:lang w:val="en-GB"/>
        </w:rPr>
        <w:t>To evaluate the impact of variable EBF on restoring perfusion, we measured the blood flow through the celiac trunk (CT</w:t>
      </w:r>
      <w:r w:rsidRPr="000625D2">
        <w:rPr>
          <w:rFonts w:ascii="Helvetica Neue" w:hAnsi="Helvetica Neue" w:cs="Helvetica Neue"/>
          <w:color w:val="323232"/>
          <w:sz w:val="22"/>
          <w:szCs w:val="22"/>
          <w:vertAlign w:val="subscript"/>
          <w:lang w:val="en-GB"/>
        </w:rPr>
        <w:t>BF</w:t>
      </w:r>
      <w:r w:rsidRPr="000625D2">
        <w:rPr>
          <w:rFonts w:ascii="Helvetica Neue" w:hAnsi="Helvetica Neue" w:cs="Helvetica Neue"/>
          <w:color w:val="323232"/>
          <w:sz w:val="22"/>
          <w:szCs w:val="22"/>
          <w:lang w:val="en-GB"/>
        </w:rPr>
        <w:t xml:space="preserve">) </w:t>
      </w:r>
      <w:r>
        <w:rPr>
          <w:rFonts w:ascii="Helvetica Neue" w:hAnsi="Helvetica Neue" w:cs="Helvetica Neue"/>
          <w:color w:val="323232"/>
          <w:sz w:val="22"/>
          <w:szCs w:val="22"/>
          <w:lang w:val="en-GB"/>
        </w:rPr>
        <w:t>during</w:t>
      </w:r>
      <w:r w:rsidRPr="000625D2">
        <w:rPr>
          <w:rFonts w:ascii="Helvetica Neue" w:hAnsi="Helvetica Neue" w:cs="Helvetica Neue"/>
          <w:color w:val="323232"/>
          <w:sz w:val="22"/>
          <w:szCs w:val="22"/>
          <w:lang w:val="en-GB"/>
        </w:rPr>
        <w:t xml:space="preserve"> A-NRP.</w:t>
      </w:r>
    </w:p>
    <w:p w14:paraId="23F68CC1" w14:textId="77777777" w:rsidR="000625D2" w:rsidRDefault="000625D2" w:rsidP="00027242">
      <w:pPr>
        <w:jc w:val="both"/>
        <w:rPr>
          <w:rFonts w:ascii="Helvetica Neue" w:hAnsi="Helvetica Neue" w:cs="Helvetica Neue"/>
          <w:color w:val="323232"/>
          <w:sz w:val="22"/>
          <w:szCs w:val="22"/>
          <w:lang w:val="en-GB"/>
        </w:rPr>
      </w:pPr>
    </w:p>
    <w:p w14:paraId="3895B18B" w14:textId="77777777" w:rsidR="000625D2" w:rsidRDefault="000625D2" w:rsidP="000625D2">
      <w:pPr>
        <w:autoSpaceDE w:val="0"/>
        <w:autoSpaceDN w:val="0"/>
        <w:adjustRightInd w:val="0"/>
        <w:jc w:val="both"/>
        <w:rPr>
          <w:rFonts w:ascii="Helvetica Neue" w:hAnsi="Helvetica Neue" w:cs="Helvetica Neue"/>
          <w:color w:val="E6000E"/>
          <w:sz w:val="22"/>
          <w:szCs w:val="22"/>
          <w:lang w:val="en-GB"/>
        </w:rPr>
      </w:pPr>
      <w:r>
        <w:rPr>
          <w:rFonts w:ascii="Helvetica Neue" w:hAnsi="Helvetica Neue" w:cs="Helvetica Neue"/>
          <w:b/>
          <w:bCs/>
          <w:color w:val="000000"/>
          <w:sz w:val="22"/>
          <w:szCs w:val="22"/>
          <w:lang w:val="en-GB"/>
        </w:rPr>
        <w:t>Methods</w:t>
      </w:r>
    </w:p>
    <w:p w14:paraId="61C8EE4C" w14:textId="54AA334E"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 xml:space="preserve">In this pilot study, we assessed </w:t>
      </w:r>
      <w:r w:rsidRPr="000625D2">
        <w:rPr>
          <w:rFonts w:ascii="Helvetica Neue" w:hAnsi="Helvetica Neue" w:cs="Helvetica Neue"/>
          <w:color w:val="323232"/>
          <w:sz w:val="22"/>
          <w:szCs w:val="22"/>
          <w:lang w:val="en-GB"/>
        </w:rPr>
        <w:t>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w:t>
      </w:r>
      <w:r>
        <w:rPr>
          <w:rFonts w:ascii="Helvetica Neue" w:hAnsi="Helvetica Neue" w:cs="Helvetica Neue"/>
          <w:color w:val="000000"/>
          <w:sz w:val="22"/>
          <w:szCs w:val="22"/>
          <w:lang w:val="en-GB"/>
        </w:rPr>
        <w:t>in six controlled DCDDs. CT was visualized antemortem with transesophageal ultrasound (TEU). The use of TEU is our standard of practice to guide cannulation, and endovascular balloon occluder positioning/inflation.</w:t>
      </w:r>
    </w:p>
    <w:p w14:paraId="746ABA6A" w14:textId="64B539C0"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 xml:space="preserve">The TEU probe was advanced to transgastric position, with </w:t>
      </w:r>
      <w:r>
        <w:rPr>
          <w:rFonts w:ascii="Helvetica Neue" w:hAnsi="Helvetica Neue" w:cs="Helvetica Neue"/>
          <w:color w:val="000000"/>
          <w:sz w:val="22"/>
          <w:szCs w:val="22"/>
          <w:lang w:val="en-GB"/>
        </w:rPr>
        <w:t xml:space="preserve">the </w:t>
      </w:r>
      <w:r>
        <w:rPr>
          <w:rFonts w:ascii="Helvetica Neue" w:hAnsi="Helvetica Neue" w:cs="Helvetica Neue"/>
          <w:color w:val="000000"/>
          <w:sz w:val="22"/>
          <w:szCs w:val="22"/>
          <w:lang w:val="en-GB"/>
        </w:rPr>
        <w:t>abdominal aorta in short axis (figure</w:t>
      </w:r>
      <w:r>
        <w:rPr>
          <w:rFonts w:ascii="Helvetica Neue" w:hAnsi="Helvetica Neue" w:cs="Helvetica Neue"/>
          <w:color w:val="000000"/>
          <w:sz w:val="22"/>
          <w:szCs w:val="22"/>
          <w:lang w:val="en-GB"/>
        </w:rPr>
        <w:t xml:space="preserve"> A-B</w:t>
      </w:r>
      <w:r>
        <w:rPr>
          <w:rFonts w:ascii="Helvetica Neue" w:hAnsi="Helvetica Neue" w:cs="Helvetica Neue"/>
          <w:color w:val="000000"/>
          <w:sz w:val="22"/>
          <w:szCs w:val="22"/>
          <w:lang w:val="en-GB"/>
        </w:rPr>
        <w:t>). If normal anatomy, CT appeared as the first major branch. CT diameter was measured before withdrawal of life sustaining measures.</w:t>
      </w:r>
    </w:p>
    <w:p w14:paraId="3D7E686C" w14:textId="14A43B70"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Being a cylinder-like structure, CT cross sectional area (CSA</w:t>
      </w:r>
      <w:r>
        <w:rPr>
          <w:rFonts w:ascii="Helvetica Neue" w:hAnsi="Helvetica Neue" w:cs="Helvetica Neue"/>
          <w:color w:val="323232"/>
          <w:sz w:val="22"/>
          <w:szCs w:val="22"/>
          <w:vertAlign w:val="subscript"/>
          <w:lang w:val="en-GB"/>
        </w:rPr>
        <w:t>C</w:t>
      </w:r>
      <w:r>
        <w:rPr>
          <w:rFonts w:ascii="Helvetica Neue" w:hAnsi="Helvetica Neue" w:cs="Helvetica Neue"/>
          <w:color w:val="323232"/>
          <w:sz w:val="22"/>
          <w:szCs w:val="22"/>
          <w:vertAlign w:val="subscript"/>
          <w:lang w:val="en-GB"/>
        </w:rPr>
        <w:t>T</w:t>
      </w:r>
      <w:r>
        <w:rPr>
          <w:rFonts w:ascii="Helvetica Neue" w:hAnsi="Helvetica Neue" w:cs="Helvetica Neue"/>
          <w:color w:val="000000"/>
          <w:sz w:val="22"/>
          <w:szCs w:val="22"/>
          <w:lang w:val="en-GB"/>
        </w:rPr>
        <w:t>) was calculated as:</w:t>
      </w:r>
    </w:p>
    <w:p w14:paraId="3578D113" w14:textId="78F75251"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CSA</w:t>
      </w:r>
      <w:r>
        <w:rPr>
          <w:rFonts w:ascii="Helvetica Neue" w:hAnsi="Helvetica Neue" w:cs="Helvetica Neue"/>
          <w:color w:val="323232"/>
          <w:sz w:val="22"/>
          <w:szCs w:val="22"/>
          <w:vertAlign w:val="subscript"/>
          <w:lang w:val="en-GB"/>
        </w:rPr>
        <w:t>C</w:t>
      </w:r>
      <w:r>
        <w:rPr>
          <w:rFonts w:ascii="Helvetica Neue" w:hAnsi="Helvetica Neue" w:cs="Helvetica Neue"/>
          <w:color w:val="323232"/>
          <w:sz w:val="22"/>
          <w:szCs w:val="22"/>
          <w:vertAlign w:val="subscript"/>
          <w:lang w:val="en-GB"/>
        </w:rPr>
        <w:t>T</w:t>
      </w:r>
      <w:r>
        <w:rPr>
          <w:rFonts w:ascii="Helvetica Neue" w:hAnsi="Helvetica Neue" w:cs="Helvetica Neue"/>
          <w:color w:val="000000"/>
          <w:sz w:val="22"/>
          <w:szCs w:val="22"/>
          <w:lang w:val="en-GB"/>
        </w:rPr>
        <w:t xml:space="preserve"> = [(CT diameter)/2]</w:t>
      </w:r>
      <w:r w:rsidRPr="000625D2">
        <w:rPr>
          <w:rFonts w:ascii="Helvetica Neue" w:hAnsi="Helvetica Neue" w:cs="Helvetica Neue"/>
          <w:color w:val="000000"/>
          <w:sz w:val="22"/>
          <w:szCs w:val="22"/>
          <w:vertAlign w:val="superscript"/>
          <w:lang w:val="en-GB"/>
        </w:rPr>
        <w:t>2</w:t>
      </w:r>
      <w:r>
        <w:rPr>
          <w:rFonts w:ascii="Helvetica Neue" w:hAnsi="Helvetica Neue" w:cs="Helvetica Neue"/>
          <w:color w:val="000000"/>
          <w:sz w:val="14"/>
          <w:szCs w:val="14"/>
          <w:vertAlign w:val="superscript"/>
          <w:lang w:val="en-GB"/>
        </w:rPr>
        <w:t xml:space="preserve"> </w:t>
      </w:r>
      <w:r>
        <w:rPr>
          <w:rFonts w:ascii="Helvetica Neue" w:hAnsi="Helvetica Neue" w:cs="Helvetica Neue"/>
          <w:color w:val="000000"/>
          <w:sz w:val="22"/>
          <w:szCs w:val="22"/>
          <w:lang w:val="en-GB"/>
        </w:rPr>
        <w:t>x π</w:t>
      </w:r>
    </w:p>
    <w:p w14:paraId="76F99792" w14:textId="22A206FE"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 xml:space="preserve">The velocity of </w:t>
      </w:r>
      <w:r w:rsidRPr="000625D2">
        <w:rPr>
          <w:rFonts w:ascii="Helvetica Neue" w:hAnsi="Helvetica Neue" w:cs="Helvetica Neue"/>
          <w:color w:val="323232"/>
          <w:sz w:val="22"/>
          <w:szCs w:val="22"/>
          <w:lang w:val="en-GB"/>
        </w:rPr>
        <w:t>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w:t>
      </w:r>
      <w:r>
        <w:rPr>
          <w:rFonts w:ascii="Helvetica Neue" w:hAnsi="Helvetica Neue" w:cs="Helvetica Neue"/>
          <w:color w:val="000000"/>
          <w:sz w:val="22"/>
          <w:szCs w:val="22"/>
          <w:lang w:val="en-GB"/>
        </w:rPr>
        <w:t>over time was visualized by pulsed-wave doppler, and its curve traced to obtain velocity-time integral (</w:t>
      </w:r>
      <w:r>
        <w:rPr>
          <w:rFonts w:ascii="Helvetica Neue" w:hAnsi="Helvetica Neue" w:cs="Helvetica Neue"/>
          <w:color w:val="323232"/>
          <w:sz w:val="22"/>
          <w:szCs w:val="22"/>
          <w:lang w:val="en-GB"/>
        </w:rPr>
        <w:t>V</w:t>
      </w:r>
      <w:r w:rsidRPr="000625D2">
        <w:rPr>
          <w:rFonts w:ascii="Helvetica Neue" w:hAnsi="Helvetica Neue" w:cs="Helvetica Neue"/>
          <w:color w:val="323232"/>
          <w:sz w:val="22"/>
          <w:szCs w:val="22"/>
          <w:lang w:val="en-GB"/>
        </w:rPr>
        <w:t>T</w:t>
      </w:r>
      <w:r>
        <w:rPr>
          <w:rFonts w:ascii="Helvetica Neue" w:hAnsi="Helvetica Neue" w:cs="Helvetica Neue"/>
          <w:color w:val="323232"/>
          <w:sz w:val="22"/>
          <w:szCs w:val="22"/>
          <w:lang w:val="en-GB"/>
        </w:rPr>
        <w:t>I</w:t>
      </w:r>
      <w:r>
        <w:rPr>
          <w:rFonts w:ascii="Helvetica Neue" w:hAnsi="Helvetica Neue" w:cs="Helvetica Neue"/>
          <w:color w:val="323232"/>
          <w:sz w:val="22"/>
          <w:szCs w:val="22"/>
          <w:vertAlign w:val="subscript"/>
          <w:lang w:val="en-GB"/>
        </w:rPr>
        <w:t>CT</w:t>
      </w:r>
      <w:r>
        <w:rPr>
          <w:rFonts w:ascii="Helvetica Neue" w:hAnsi="Helvetica Neue" w:cs="Helvetica Neue"/>
          <w:color w:val="000000"/>
          <w:sz w:val="22"/>
          <w:szCs w:val="22"/>
          <w:lang w:val="en-GB"/>
        </w:rPr>
        <w:t xml:space="preserve">). </w:t>
      </w:r>
      <w:r>
        <w:rPr>
          <w:rFonts w:ascii="Helvetica Neue" w:hAnsi="Helvetica Neue" w:cs="Helvetica Neue"/>
          <w:color w:val="323232"/>
          <w:sz w:val="22"/>
          <w:szCs w:val="22"/>
          <w:lang w:val="en-GB"/>
        </w:rPr>
        <w:t>V</w:t>
      </w:r>
      <w:r w:rsidRPr="000625D2">
        <w:rPr>
          <w:rFonts w:ascii="Helvetica Neue" w:hAnsi="Helvetica Neue" w:cs="Helvetica Neue"/>
          <w:color w:val="323232"/>
          <w:sz w:val="22"/>
          <w:szCs w:val="22"/>
          <w:lang w:val="en-GB"/>
        </w:rPr>
        <w:t>T</w:t>
      </w:r>
      <w:r>
        <w:rPr>
          <w:rFonts w:ascii="Helvetica Neue" w:hAnsi="Helvetica Neue" w:cs="Helvetica Neue"/>
          <w:color w:val="323232"/>
          <w:sz w:val="22"/>
          <w:szCs w:val="22"/>
          <w:lang w:val="en-GB"/>
        </w:rPr>
        <w:t>I</w:t>
      </w:r>
      <w:r>
        <w:rPr>
          <w:rFonts w:ascii="Helvetica Neue" w:hAnsi="Helvetica Neue" w:cs="Helvetica Neue"/>
          <w:color w:val="323232"/>
          <w:sz w:val="22"/>
          <w:szCs w:val="22"/>
          <w:vertAlign w:val="subscript"/>
          <w:lang w:val="en-GB"/>
        </w:rPr>
        <w:t>CT</w:t>
      </w:r>
      <w:r>
        <w:rPr>
          <w:rFonts w:ascii="Helvetica Neue" w:hAnsi="Helvetica Neue" w:cs="Helvetica Neue"/>
          <w:color w:val="000000"/>
          <w:sz w:val="22"/>
          <w:szCs w:val="22"/>
          <w:lang w:val="en-GB"/>
        </w:rPr>
        <w:t xml:space="preserve"> </w:t>
      </w:r>
      <w:r>
        <w:rPr>
          <w:rFonts w:ascii="Helvetica Neue" w:hAnsi="Helvetica Neue" w:cs="Helvetica Neue"/>
          <w:color w:val="000000"/>
          <w:sz w:val="22"/>
          <w:szCs w:val="22"/>
          <w:lang w:val="en-GB"/>
        </w:rPr>
        <w:t>was multiplied by CSA</w:t>
      </w:r>
      <w:r>
        <w:rPr>
          <w:rFonts w:ascii="Helvetica Neue" w:hAnsi="Helvetica Neue" w:cs="Helvetica Neue"/>
          <w:color w:val="323232"/>
          <w:sz w:val="22"/>
          <w:szCs w:val="22"/>
          <w:vertAlign w:val="subscript"/>
          <w:lang w:val="en-GB"/>
        </w:rPr>
        <w:t>CT</w:t>
      </w:r>
      <w:r>
        <w:rPr>
          <w:rFonts w:ascii="Helvetica Neue" w:hAnsi="Helvetica Neue" w:cs="Helvetica Neue"/>
          <w:color w:val="323232"/>
          <w:sz w:val="22"/>
          <w:szCs w:val="22"/>
          <w:vertAlign w:val="subscript"/>
          <w:lang w:val="en-GB"/>
        </w:rPr>
        <w:t xml:space="preserve"> </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t>to achieve systolic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which was multiplied by antemortem heart rate to obtain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323232"/>
          <w:sz w:val="22"/>
          <w:szCs w:val="22"/>
          <w:vertAlign w:val="subscript"/>
          <w:lang w:val="en-GB"/>
        </w:rPr>
        <w:t xml:space="preserve"> </w:t>
      </w:r>
      <w:r>
        <w:rPr>
          <w:rFonts w:ascii="Helvetica Neue" w:hAnsi="Helvetica Neue" w:cs="Helvetica Neue"/>
          <w:color w:val="000000"/>
          <w:sz w:val="22"/>
          <w:szCs w:val="22"/>
          <w:lang w:val="en-GB"/>
        </w:rPr>
        <w:t>in L/minute</w:t>
      </w:r>
      <w:r>
        <w:rPr>
          <w:rFonts w:ascii="Helvetica Neue" w:hAnsi="Helvetica Neue" w:cs="Helvetica Neue"/>
          <w:color w:val="000000"/>
          <w:sz w:val="14"/>
          <w:szCs w:val="14"/>
          <w:vertAlign w:val="subscript"/>
          <w:lang w:val="en-GB"/>
        </w:rPr>
        <w:t>.</w:t>
      </w:r>
    </w:p>
    <w:p w14:paraId="6038BBCA" w14:textId="601D1F8A" w:rsidR="000625D2" w:rsidRDefault="000625D2" w:rsidP="000625D2">
      <w:pPr>
        <w:autoSpaceDE w:val="0"/>
        <w:autoSpaceDN w:val="0"/>
        <w:adjustRightInd w:val="0"/>
        <w:jc w:val="both"/>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During NRP, post-mortem, a continuous EBF is generated by the circuit pump, so velocity/time profile becomes linear. The VTI</w:t>
      </w:r>
      <w:r>
        <w:rPr>
          <w:rFonts w:ascii="Helvetica Neue" w:hAnsi="Helvetica Neue" w:cs="Helvetica Neue"/>
          <w:color w:val="323232"/>
          <w:sz w:val="22"/>
          <w:szCs w:val="22"/>
          <w:vertAlign w:val="subscript"/>
          <w:lang w:val="en-GB"/>
        </w:rPr>
        <w:t>CT</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t>was assessed over one second</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t>and multiplied by 60, to obtain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in L/minute (figure). This measurement was repeated with EBF set at 40%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323232"/>
          <w:sz w:val="22"/>
          <w:szCs w:val="22"/>
          <w:vertAlign w:val="subscript"/>
          <w:lang w:val="en-GB"/>
        </w:rPr>
        <w:t>40</w:t>
      </w:r>
      <w:r>
        <w:rPr>
          <w:rFonts w:ascii="Helvetica Neue" w:hAnsi="Helvetica Neue" w:cs="Helvetica Neue"/>
          <w:color w:val="000000"/>
          <w:sz w:val="22"/>
          <w:szCs w:val="22"/>
          <w:lang w:val="en-GB"/>
        </w:rPr>
        <w:t>), 60%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323232"/>
          <w:sz w:val="22"/>
          <w:szCs w:val="22"/>
          <w:vertAlign w:val="subscript"/>
          <w:lang w:val="en-GB"/>
        </w:rPr>
        <w:t>6</w:t>
      </w:r>
      <w:r>
        <w:rPr>
          <w:rFonts w:ascii="Helvetica Neue" w:hAnsi="Helvetica Neue" w:cs="Helvetica Neue"/>
          <w:color w:val="323232"/>
          <w:sz w:val="22"/>
          <w:szCs w:val="22"/>
          <w:vertAlign w:val="subscript"/>
          <w:lang w:val="en-GB"/>
        </w:rPr>
        <w:t>0</w:t>
      </w:r>
      <w:r>
        <w:rPr>
          <w:rFonts w:ascii="Helvetica Neue" w:hAnsi="Helvetica Neue" w:cs="Helvetica Neue"/>
          <w:color w:val="000000"/>
          <w:sz w:val="22"/>
          <w:szCs w:val="22"/>
          <w:lang w:val="en-GB"/>
        </w:rPr>
        <w:t>), and 80%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323232"/>
          <w:sz w:val="22"/>
          <w:szCs w:val="22"/>
          <w:vertAlign w:val="subscript"/>
          <w:lang w:val="en-GB"/>
        </w:rPr>
        <w:t>8</w:t>
      </w:r>
      <w:r>
        <w:rPr>
          <w:rFonts w:ascii="Helvetica Neue" w:hAnsi="Helvetica Neue" w:cs="Helvetica Neue"/>
          <w:color w:val="323232"/>
          <w:sz w:val="22"/>
          <w:szCs w:val="22"/>
          <w:vertAlign w:val="subscript"/>
          <w:lang w:val="en-GB"/>
        </w:rPr>
        <w:t>0</w:t>
      </w:r>
      <w:r>
        <w:rPr>
          <w:rFonts w:ascii="Helvetica Neue" w:hAnsi="Helvetica Neue" w:cs="Helvetica Neue"/>
          <w:color w:val="000000"/>
          <w:sz w:val="22"/>
          <w:szCs w:val="22"/>
          <w:lang w:val="en-GB"/>
        </w:rPr>
        <w:t>) of the predicted cardiac index (CI) commonly used during normothermic cardiopulmonary bypass in adults (2.4 L/min/m</w:t>
      </w:r>
      <w:r w:rsidRPr="000625D2">
        <w:rPr>
          <w:rFonts w:ascii="Helvetica Neue" w:hAnsi="Helvetica Neue" w:cs="Helvetica Neue"/>
          <w:color w:val="000000"/>
          <w:sz w:val="22"/>
          <w:szCs w:val="22"/>
          <w:vertAlign w:val="superscript"/>
          <w:lang w:val="en-GB"/>
        </w:rPr>
        <w:t>2</w:t>
      </w:r>
      <w:r>
        <w:rPr>
          <w:rFonts w:ascii="Helvetica Neue" w:hAnsi="Helvetica Neue" w:cs="Helvetica Neue"/>
          <w:color w:val="000000"/>
          <w:sz w:val="22"/>
          <w:szCs w:val="22"/>
          <w:lang w:val="en-GB"/>
        </w:rPr>
        <w:t xml:space="preserve"> multiplied by body surface area). </w:t>
      </w:r>
    </w:p>
    <w:p w14:paraId="4DFD5300" w14:textId="77777777" w:rsidR="00027242" w:rsidRDefault="00027242" w:rsidP="00027242">
      <w:pPr>
        <w:jc w:val="both"/>
        <w:rPr>
          <w:rFonts w:ascii="Helvetica Neue" w:hAnsi="Helvetica Neue" w:cs="Helvetica Neue"/>
          <w:color w:val="323232"/>
          <w:sz w:val="22"/>
          <w:szCs w:val="22"/>
          <w:lang w:val="en-GB"/>
        </w:rPr>
      </w:pPr>
    </w:p>
    <w:p w14:paraId="2B6867EE" w14:textId="77777777" w:rsidR="000625D2" w:rsidRDefault="00027242" w:rsidP="000625D2">
      <w:pPr>
        <w:autoSpaceDE w:val="0"/>
        <w:autoSpaceDN w:val="0"/>
        <w:adjustRightInd w:val="0"/>
        <w:rPr>
          <w:rFonts w:ascii="Helvetica Neue" w:hAnsi="Helvetica Neue" w:cs="Helvetica Neue"/>
          <w:color w:val="000000"/>
          <w:sz w:val="22"/>
          <w:szCs w:val="22"/>
          <w:lang w:val="en-GB"/>
        </w:rPr>
      </w:pPr>
      <w:r>
        <w:rPr>
          <w:rFonts w:ascii="Helvetica Neue" w:hAnsi="Helvetica Neue" w:cs="Helvetica Neue"/>
          <w:b/>
          <w:bCs/>
          <w:color w:val="323232"/>
          <w:sz w:val="22"/>
          <w:szCs w:val="22"/>
          <w:lang w:val="en-GB"/>
        </w:rPr>
        <w:t>Results</w:t>
      </w:r>
    </w:p>
    <w:p w14:paraId="14C4FB5E" w14:textId="1F30BA51" w:rsidR="000625D2" w:rsidRDefault="000625D2" w:rsidP="000625D2">
      <w:pPr>
        <w:autoSpaceDE w:val="0"/>
        <w:autoSpaceDN w:val="0"/>
        <w:adjustRightInd w:val="0"/>
        <w:rPr>
          <w:rFonts w:ascii="Helvetica Neue" w:hAnsi="Helvetica Neue" w:cs="Helvetica Neue"/>
          <w:color w:val="000000"/>
          <w:sz w:val="22"/>
          <w:szCs w:val="22"/>
          <w:lang w:val="en-GB"/>
        </w:rPr>
      </w:pPr>
      <w:r>
        <w:rPr>
          <w:rFonts w:ascii="Helvetica Neue" w:hAnsi="Helvetica Neue" w:cs="Helvetica Neue"/>
          <w:color w:val="000000"/>
          <w:sz w:val="22"/>
          <w:szCs w:val="22"/>
          <w:lang w:val="en-GB"/>
        </w:rPr>
        <w:t>Results of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measurements during NRP, and their relationship with antemortem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are displayed in the table. </w:t>
      </w:r>
      <w:r w:rsidRPr="000625D2">
        <w:rPr>
          <w:rFonts w:ascii="Helvetica Neue" w:hAnsi="Helvetica Neue" w:cs="Helvetica Neue"/>
          <w:color w:val="000000"/>
          <w:sz w:val="22"/>
          <w:szCs w:val="22"/>
          <w:lang w:val="en-GB"/>
        </w:rPr>
        <w:t>CI</w:t>
      </w:r>
      <w:r w:rsidRPr="000625D2">
        <w:rPr>
          <w:rFonts w:ascii="Helvetica Neue" w:hAnsi="Helvetica Neue" w:cs="Helvetica Neue"/>
          <w:color w:val="000000"/>
          <w:sz w:val="22"/>
          <w:szCs w:val="22"/>
          <w:vertAlign w:val="subscript"/>
          <w:lang w:val="en-GB"/>
        </w:rPr>
        <w:t>40%</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t>was never enough to reproduce antemortem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w:t>
      </w:r>
      <w:r w:rsidRPr="000625D2">
        <w:rPr>
          <w:rFonts w:ascii="Helvetica Neue" w:hAnsi="Helvetica Neue" w:cs="Helvetica Neue"/>
          <w:color w:val="000000"/>
          <w:sz w:val="22"/>
          <w:szCs w:val="22"/>
          <w:lang w:val="en-GB"/>
        </w:rPr>
        <w:t>CI</w:t>
      </w:r>
      <w:r w:rsidRPr="000625D2">
        <w:rPr>
          <w:rFonts w:ascii="Helvetica Neue" w:hAnsi="Helvetica Neue" w:cs="Helvetica Neue"/>
          <w:color w:val="000000"/>
          <w:sz w:val="22"/>
          <w:szCs w:val="22"/>
          <w:vertAlign w:val="subscript"/>
          <w:lang w:val="en-GB"/>
        </w:rPr>
        <w:t>60%</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lastRenderedPageBreak/>
        <w:t xml:space="preserve">was adequate in half of the donors, specifically if BSA &lt; </w:t>
      </w:r>
      <w:r w:rsidRPr="000625D2">
        <w:rPr>
          <w:rFonts w:ascii="Helvetica Neue" w:hAnsi="Helvetica Neue" w:cs="Helvetica Neue"/>
          <w:color w:val="000000"/>
          <w:sz w:val="22"/>
          <w:szCs w:val="22"/>
          <w:lang w:val="en-GB"/>
        </w:rPr>
        <w:t>2 m</w:t>
      </w:r>
      <w:r w:rsidRPr="000625D2">
        <w:rPr>
          <w:rFonts w:ascii="Helvetica Neue" w:hAnsi="Helvetica Neue" w:cs="Helvetica Neue"/>
          <w:color w:val="000000"/>
          <w:sz w:val="22"/>
          <w:szCs w:val="22"/>
          <w:vertAlign w:val="subscript"/>
          <w:lang w:val="en-GB"/>
        </w:rPr>
        <w:t>2</w:t>
      </w:r>
      <w:r w:rsidRPr="000625D2">
        <w:rPr>
          <w:rFonts w:ascii="Helvetica Neue" w:hAnsi="Helvetica Neue" w:cs="Helvetica Neue"/>
          <w:color w:val="000000"/>
          <w:sz w:val="22"/>
          <w:szCs w:val="22"/>
          <w:lang w:val="en-GB"/>
        </w:rPr>
        <w:t>. CI</w:t>
      </w:r>
      <w:r w:rsidRPr="000625D2">
        <w:rPr>
          <w:rFonts w:ascii="Helvetica Neue" w:hAnsi="Helvetica Neue" w:cs="Helvetica Neue"/>
          <w:color w:val="000000"/>
          <w:sz w:val="22"/>
          <w:szCs w:val="22"/>
          <w:vertAlign w:val="subscript"/>
          <w:lang w:val="en-GB"/>
        </w:rPr>
        <w:t>80%</w:t>
      </w:r>
      <w:r>
        <w:rPr>
          <w:rFonts w:ascii="Helvetica Neue" w:hAnsi="Helvetica Neue" w:cs="Helvetica Neue"/>
          <w:color w:val="000000"/>
          <w:sz w:val="14"/>
          <w:szCs w:val="14"/>
          <w:vertAlign w:val="subscript"/>
          <w:lang w:val="en-GB"/>
        </w:rPr>
        <w:t xml:space="preserve"> </w:t>
      </w:r>
      <w:r>
        <w:rPr>
          <w:rFonts w:ascii="Helvetica Neue" w:hAnsi="Helvetica Neue" w:cs="Helvetica Neue"/>
          <w:color w:val="000000"/>
          <w:sz w:val="22"/>
          <w:szCs w:val="22"/>
          <w:lang w:val="en-GB"/>
        </w:rPr>
        <w:t>was above or largely above antemortem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in all but one donor</w:t>
      </w:r>
      <w:r>
        <w:rPr>
          <w:rFonts w:ascii="Helvetica Neue" w:hAnsi="Helvetica Neue" w:cs="Helvetica Neue"/>
          <w:color w:val="000000"/>
          <w:sz w:val="14"/>
          <w:szCs w:val="14"/>
          <w:vertAlign w:val="subscript"/>
          <w:lang w:val="en-GB"/>
        </w:rPr>
        <w:t>.</w:t>
      </w:r>
      <w:r w:rsidRPr="000625D2">
        <w:rPr>
          <w:noProof/>
        </w:rPr>
        <w:t xml:space="preserve"> </w:t>
      </w:r>
    </w:p>
    <w:p w14:paraId="63EBF5A0" w14:textId="58851364" w:rsidR="000625D2" w:rsidRDefault="000625D2" w:rsidP="000625D2">
      <w:pPr>
        <w:autoSpaceDE w:val="0"/>
        <w:autoSpaceDN w:val="0"/>
        <w:adjustRightInd w:val="0"/>
        <w:jc w:val="both"/>
        <w:rPr>
          <w:rFonts w:ascii="Helvetica Neue" w:hAnsi="Helvetica Neue" w:cs="Helvetica Neue"/>
          <w:color w:val="000000"/>
          <w:sz w:val="22"/>
          <w:szCs w:val="22"/>
          <w:lang w:val="en-GB"/>
        </w:rPr>
      </w:pPr>
    </w:p>
    <w:p w14:paraId="6E3AE8F8" w14:textId="584FB521" w:rsidR="000625D2" w:rsidRDefault="000625D2" w:rsidP="000625D2">
      <w:pPr>
        <w:autoSpaceDE w:val="0"/>
        <w:autoSpaceDN w:val="0"/>
        <w:adjustRightInd w:val="0"/>
        <w:jc w:val="both"/>
        <w:rPr>
          <w:rFonts w:ascii="Helvetica Neue" w:hAnsi="Helvetica Neue" w:cs="Helvetica Neue"/>
          <w:b/>
          <w:bCs/>
          <w:color w:val="000000"/>
          <w:sz w:val="22"/>
          <w:szCs w:val="22"/>
          <w:lang w:val="en-GB"/>
        </w:rPr>
      </w:pPr>
      <w:r>
        <w:rPr>
          <w:rFonts w:ascii="Helvetica Neue" w:hAnsi="Helvetica Neue" w:cs="Helvetica Neue"/>
          <w:b/>
          <w:bCs/>
          <w:color w:val="000000"/>
          <w:sz w:val="22"/>
          <w:szCs w:val="22"/>
          <w:lang w:val="en-GB"/>
        </w:rPr>
        <w:t>Conclusions</w:t>
      </w:r>
    </w:p>
    <w:p w14:paraId="650856DF" w14:textId="7725A4BB" w:rsidR="000625D2" w:rsidRDefault="000625D2" w:rsidP="000625D2">
      <w:pPr>
        <w:autoSpaceDE w:val="0"/>
        <w:autoSpaceDN w:val="0"/>
        <w:adjustRightInd w:val="0"/>
        <w:jc w:val="both"/>
        <w:rPr>
          <w:rFonts w:ascii="Helvetica Neue" w:hAnsi="Helvetica Neue" w:cs="Helvetica Neue"/>
          <w:color w:val="000000"/>
          <w:sz w:val="22"/>
          <w:szCs w:val="22"/>
          <w:lang w:val="en-GB"/>
        </w:rPr>
      </w:pPr>
      <w:r w:rsidRPr="000625D2">
        <w:rPr>
          <w:rFonts w:ascii="Helvetica Neue" w:hAnsi="Helvetica Neue" w:cs="Helvetica Neue"/>
          <w:color w:val="000000"/>
          <w:sz w:val="14"/>
          <w:szCs w:val="14"/>
          <w:vertAlign w:val="subscript"/>
          <w:lang w:val="en-GB"/>
        </w:rPr>
        <w:drawing>
          <wp:anchor distT="0" distB="0" distL="114300" distR="114300" simplePos="0" relativeHeight="251658240" behindDoc="0" locked="0" layoutInCell="1" allowOverlap="1" wp14:anchorId="3CD8D270" wp14:editId="7A6C3649">
            <wp:simplePos x="0" y="0"/>
            <wp:positionH relativeFrom="column">
              <wp:posOffset>-171450</wp:posOffset>
            </wp:positionH>
            <wp:positionV relativeFrom="paragraph">
              <wp:posOffset>979170</wp:posOffset>
            </wp:positionV>
            <wp:extent cx="6078855" cy="3409950"/>
            <wp:effectExtent l="0" t="0" r="4445" b="6350"/>
            <wp:wrapTopAndBottom/>
            <wp:docPr id="1" name="Picture 1" descr="A collage of images of a son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images of a sono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78855" cy="340995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s="Helvetica Neue"/>
          <w:color w:val="000000"/>
          <w:sz w:val="22"/>
          <w:szCs w:val="22"/>
          <w:lang w:val="en-GB"/>
        </w:rPr>
        <w:t>Targeting an optimal, donor adapted, EBF during A-NRP could improve the results of organ recovery form DCDDs. Too high EBF may be harmful for splanchnic circulation, and difficult to be maintained without an excessive volume expansion. Too low EBF might impair organ perfusion. Implementing CT</w:t>
      </w:r>
      <w:r w:rsidRPr="000625D2">
        <w:rPr>
          <w:rFonts w:ascii="Helvetica Neue" w:hAnsi="Helvetica Neue" w:cs="Helvetica Neue"/>
          <w:color w:val="323232"/>
          <w:sz w:val="22"/>
          <w:szCs w:val="22"/>
          <w:vertAlign w:val="subscript"/>
          <w:lang w:val="en-GB"/>
        </w:rPr>
        <w:t>BF</w:t>
      </w:r>
      <w:r>
        <w:rPr>
          <w:rFonts w:ascii="Helvetica Neue" w:hAnsi="Helvetica Neue" w:cs="Helvetica Neue"/>
          <w:color w:val="000000"/>
          <w:sz w:val="22"/>
          <w:szCs w:val="22"/>
          <w:lang w:val="en-GB"/>
        </w:rPr>
        <w:t xml:space="preserve"> assessment in larger cohorts of DCDDs may assist in defining this goal.</w:t>
      </w:r>
    </w:p>
    <w:p w14:paraId="382E0022" w14:textId="7A2DA1C6" w:rsidR="000625D2" w:rsidRDefault="000625D2">
      <w:r w:rsidRPr="000625D2">
        <w:drawing>
          <wp:anchor distT="0" distB="0" distL="114300" distR="114300" simplePos="0" relativeHeight="251659264" behindDoc="0" locked="0" layoutInCell="1" allowOverlap="1" wp14:anchorId="4C331BFE" wp14:editId="5F4EF573">
            <wp:simplePos x="0" y="0"/>
            <wp:positionH relativeFrom="column">
              <wp:posOffset>-171450</wp:posOffset>
            </wp:positionH>
            <wp:positionV relativeFrom="paragraph">
              <wp:posOffset>3735070</wp:posOffset>
            </wp:positionV>
            <wp:extent cx="6085840" cy="2305050"/>
            <wp:effectExtent l="0" t="0" r="0" b="6350"/>
            <wp:wrapTopAndBottom/>
            <wp:docPr id="2" name="Picture 2" descr="A table with numbers and a red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with numbers and a red box&#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5840" cy="2305050"/>
                    </a:xfrm>
                    <a:prstGeom prst="rect">
                      <a:avLst/>
                    </a:prstGeom>
                  </pic:spPr>
                </pic:pic>
              </a:graphicData>
            </a:graphic>
            <wp14:sizeRelH relativeFrom="margin">
              <wp14:pctWidth>0</wp14:pctWidth>
            </wp14:sizeRelH>
            <wp14:sizeRelV relativeFrom="margin">
              <wp14:pctHeight>0</wp14:pctHeight>
            </wp14:sizeRelV>
          </wp:anchor>
        </w:drawing>
      </w:r>
    </w:p>
    <w:p w14:paraId="2D77C9E7" w14:textId="2DAC97ED" w:rsidR="000625D2" w:rsidRDefault="000625D2"/>
    <w:p w14:paraId="20BD6D90" w14:textId="5968F1FF" w:rsidR="000625D2" w:rsidRDefault="000625D2"/>
    <w:p w14:paraId="1C9CE704" w14:textId="0FBF8A7F" w:rsidR="00027242" w:rsidRDefault="00027242"/>
    <w:sectPr w:rsidR="00027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2"/>
    <w:rsid w:val="00027242"/>
    <w:rsid w:val="000625D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D89D"/>
  <w15:chartTrackingRefBased/>
  <w15:docId w15:val="{E6D44A95-FDEA-9A4D-92B5-A3355548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D2"/>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5D2"/>
    <w:pPr>
      <w:spacing w:before="100" w:beforeAutospacing="1" w:after="100" w:afterAutospacing="1"/>
    </w:pPr>
  </w:style>
  <w:style w:type="character" w:customStyle="1" w:styleId="apple-converted-space">
    <w:name w:val="apple-converted-space"/>
    <w:basedOn w:val="DefaultParagraphFont"/>
    <w:rsid w:val="0006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Antonini - marta.antonini4@studio.unibo.it</dc:creator>
  <cp:keywords/>
  <dc:description/>
  <cp:lastModifiedBy>Marta Antonini - marta.antonini4@studio.unibo.it</cp:lastModifiedBy>
  <cp:revision>2</cp:revision>
  <dcterms:created xsi:type="dcterms:W3CDTF">2025-11-20T07:12:00Z</dcterms:created>
  <dcterms:modified xsi:type="dcterms:W3CDTF">2025-11-20T07:12:00Z</dcterms:modified>
</cp:coreProperties>
</file>