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CF48E" w14:textId="0B689775" w:rsidR="007D12A5" w:rsidRDefault="007D12A5" w:rsidP="00073F42">
      <w:pPr>
        <w:jc w:val="both"/>
        <w:rPr>
          <w:b/>
          <w:bCs/>
          <w:sz w:val="32"/>
          <w:szCs w:val="32"/>
          <w:lang w:val="en-US"/>
        </w:rPr>
      </w:pPr>
      <w:r w:rsidRPr="007D12A5">
        <w:rPr>
          <w:b/>
          <w:bCs/>
          <w:sz w:val="32"/>
          <w:szCs w:val="32"/>
          <w:lang w:val="en-US"/>
        </w:rPr>
        <w:t xml:space="preserve">HOPE and Biliary Complications in </w:t>
      </w:r>
      <w:r w:rsidR="00073F42">
        <w:rPr>
          <w:b/>
          <w:bCs/>
          <w:sz w:val="32"/>
          <w:szCs w:val="32"/>
          <w:lang w:val="en-US"/>
        </w:rPr>
        <w:t>L</w:t>
      </w:r>
      <w:r w:rsidRPr="007D12A5">
        <w:rPr>
          <w:b/>
          <w:bCs/>
          <w:sz w:val="32"/>
          <w:szCs w:val="32"/>
          <w:lang w:val="en-US"/>
        </w:rPr>
        <w:t xml:space="preserve">iver </w:t>
      </w:r>
      <w:r w:rsidR="00073F42">
        <w:rPr>
          <w:b/>
          <w:bCs/>
          <w:sz w:val="32"/>
          <w:szCs w:val="32"/>
          <w:lang w:val="en-US"/>
        </w:rPr>
        <w:t>T</w:t>
      </w:r>
      <w:r w:rsidRPr="007D12A5">
        <w:rPr>
          <w:b/>
          <w:bCs/>
          <w:sz w:val="32"/>
          <w:szCs w:val="32"/>
          <w:lang w:val="en-US"/>
        </w:rPr>
        <w:t>ransplantation: A 12-year single</w:t>
      </w:r>
      <w:r w:rsidR="00073F42">
        <w:rPr>
          <w:b/>
          <w:bCs/>
          <w:sz w:val="32"/>
          <w:szCs w:val="32"/>
          <w:lang w:val="en-US"/>
        </w:rPr>
        <w:t xml:space="preserve"> </w:t>
      </w:r>
      <w:r w:rsidRPr="007D12A5">
        <w:rPr>
          <w:b/>
          <w:bCs/>
          <w:sz w:val="32"/>
          <w:szCs w:val="32"/>
          <w:lang w:val="en-US"/>
        </w:rPr>
        <w:t xml:space="preserve">- center retrospective analysis </w:t>
      </w:r>
    </w:p>
    <w:p w14:paraId="7BE4F1E6" w14:textId="24BFCF33" w:rsidR="004719AD" w:rsidRPr="004719AD" w:rsidRDefault="004719AD" w:rsidP="00073F42">
      <w:pPr>
        <w:jc w:val="both"/>
      </w:pPr>
      <w:r w:rsidRPr="004719AD">
        <w:rPr>
          <w:u w:val="single"/>
        </w:rPr>
        <w:t>Prior Margherita</w:t>
      </w:r>
      <w:r>
        <w:rPr>
          <w:i/>
          <w:iCs/>
          <w:vertAlign w:val="superscript"/>
        </w:rPr>
        <w:t>1</w:t>
      </w:r>
      <w:r w:rsidR="00D83467">
        <w:t xml:space="preserve">, </w:t>
      </w:r>
      <w:proofErr w:type="spellStart"/>
      <w:r w:rsidRPr="004719AD">
        <w:t>Serenari</w:t>
      </w:r>
      <w:proofErr w:type="spellEnd"/>
      <w:r w:rsidRPr="004719AD">
        <w:t xml:space="preserve"> Matteo</w:t>
      </w:r>
      <w:r>
        <w:rPr>
          <w:i/>
          <w:iCs/>
          <w:vertAlign w:val="superscript"/>
        </w:rPr>
        <w:t>1</w:t>
      </w:r>
      <w:r w:rsidRPr="004719AD">
        <w:rPr>
          <w:i/>
          <w:iCs/>
          <w:vertAlign w:val="superscript"/>
        </w:rPr>
        <w:t>,</w:t>
      </w:r>
      <w:r>
        <w:rPr>
          <w:i/>
          <w:iCs/>
          <w:vertAlign w:val="superscript"/>
        </w:rPr>
        <w:t>3</w:t>
      </w:r>
      <w:r w:rsidR="00D83467">
        <w:t xml:space="preserve">, </w:t>
      </w:r>
      <w:r w:rsidRPr="004719AD">
        <w:t>Eusebi Leonardo Henry</w:t>
      </w:r>
      <w:r w:rsidR="00D83467">
        <w:rPr>
          <w:i/>
          <w:iCs/>
          <w:vertAlign w:val="superscript"/>
        </w:rPr>
        <w:t>2</w:t>
      </w:r>
      <w:r w:rsidR="00D83467" w:rsidRPr="004719AD">
        <w:rPr>
          <w:i/>
          <w:iCs/>
          <w:vertAlign w:val="superscript"/>
        </w:rPr>
        <w:t>,</w:t>
      </w:r>
      <w:r w:rsidR="00D83467" w:rsidRPr="004719AD">
        <w:rPr>
          <w:vertAlign w:val="superscript"/>
        </w:rPr>
        <w:t>3</w:t>
      </w:r>
      <w:r w:rsidR="00D83467">
        <w:t xml:space="preserve">, </w:t>
      </w:r>
      <w:r w:rsidRPr="004719AD">
        <w:t>Stocco Alberto</w:t>
      </w:r>
      <w:r w:rsidR="00D83467">
        <w:rPr>
          <w:vertAlign w:val="superscript"/>
        </w:rPr>
        <w:t>1,3</w:t>
      </w:r>
      <w:r>
        <w:t>,</w:t>
      </w:r>
      <w:r w:rsidRPr="004719AD">
        <w:rPr>
          <w:vertAlign w:val="superscript"/>
        </w:rPr>
        <w:t xml:space="preserve"> </w:t>
      </w:r>
      <w:proofErr w:type="spellStart"/>
      <w:r w:rsidRPr="004719AD">
        <w:t>Iuvinale</w:t>
      </w:r>
      <w:proofErr w:type="spellEnd"/>
      <w:r w:rsidR="007D14DB">
        <w:t xml:space="preserve"> </w:t>
      </w:r>
      <w:r w:rsidR="007D14DB">
        <w:t>M</w:t>
      </w:r>
      <w:r w:rsidR="007D14DB" w:rsidRPr="004719AD">
        <w:t xml:space="preserve">ika </w:t>
      </w:r>
      <w:r w:rsidR="00D83467">
        <w:rPr>
          <w:i/>
          <w:iCs/>
          <w:vertAlign w:val="superscript"/>
        </w:rPr>
        <w:t>2</w:t>
      </w:r>
      <w:r w:rsidR="00D83467" w:rsidRPr="004719AD">
        <w:t>,</w:t>
      </w:r>
      <w:r w:rsidR="00D83467" w:rsidRPr="004719AD">
        <w:rPr>
          <w:i/>
          <w:iCs/>
          <w:vertAlign w:val="superscript"/>
        </w:rPr>
        <w:t xml:space="preserve"> </w:t>
      </w:r>
      <w:r w:rsidR="00D83467">
        <w:t xml:space="preserve">Di </w:t>
      </w:r>
      <w:r w:rsidRPr="004719AD">
        <w:t>Noia Giulia</w:t>
      </w:r>
      <w:r w:rsidR="00D83467">
        <w:rPr>
          <w:i/>
          <w:iCs/>
          <w:vertAlign w:val="superscript"/>
        </w:rPr>
        <w:t>2</w:t>
      </w:r>
      <w:r w:rsidRPr="004719AD">
        <w:t>, Bruni Angelo</w:t>
      </w:r>
      <w:r w:rsidR="00D83467">
        <w:rPr>
          <w:i/>
          <w:iCs/>
          <w:vertAlign w:val="superscript"/>
        </w:rPr>
        <w:t>2</w:t>
      </w:r>
      <w:r w:rsidR="00D83467" w:rsidRPr="004719AD">
        <w:rPr>
          <w:i/>
          <w:iCs/>
          <w:vertAlign w:val="superscript"/>
        </w:rPr>
        <w:t>,3</w:t>
      </w:r>
      <w:r w:rsidRPr="004719AD">
        <w:t xml:space="preserve">, </w:t>
      </w:r>
      <w:r>
        <w:t>Prosperi Enrico</w:t>
      </w:r>
      <w:r w:rsidR="00D83467">
        <w:rPr>
          <w:i/>
          <w:iCs/>
          <w:vertAlign w:val="superscript"/>
        </w:rPr>
        <w:t>1</w:t>
      </w:r>
      <w:r w:rsidR="00D83467" w:rsidRPr="004719AD">
        <w:rPr>
          <w:i/>
          <w:iCs/>
          <w:vertAlign w:val="superscript"/>
        </w:rPr>
        <w:t>,</w:t>
      </w:r>
      <w:r w:rsidR="00D83467">
        <w:rPr>
          <w:i/>
          <w:iCs/>
          <w:vertAlign w:val="superscript"/>
        </w:rPr>
        <w:t>3</w:t>
      </w:r>
      <w:r>
        <w:t>,</w:t>
      </w:r>
      <w:r w:rsidR="00B664BB">
        <w:t xml:space="preserve"> </w:t>
      </w:r>
      <w:r w:rsidR="007D14DB">
        <w:t>Fallani Guido</w:t>
      </w:r>
      <w:r w:rsidR="007D14DB">
        <w:rPr>
          <w:i/>
          <w:iCs/>
          <w:vertAlign w:val="superscript"/>
        </w:rPr>
        <w:t>1</w:t>
      </w:r>
      <w:r w:rsidR="007D14DB" w:rsidRPr="004719AD">
        <w:rPr>
          <w:i/>
          <w:iCs/>
          <w:vertAlign w:val="superscript"/>
        </w:rPr>
        <w:t>,</w:t>
      </w:r>
      <w:r w:rsidR="007D14DB">
        <w:rPr>
          <w:i/>
          <w:iCs/>
          <w:vertAlign w:val="superscript"/>
        </w:rPr>
        <w:t>3</w:t>
      </w:r>
      <w:r w:rsidR="007D14DB">
        <w:t>, B</w:t>
      </w:r>
      <w:r>
        <w:t>onatti Chiara</w:t>
      </w:r>
      <w:r w:rsidR="00D83467">
        <w:rPr>
          <w:i/>
          <w:iCs/>
          <w:vertAlign w:val="superscript"/>
        </w:rPr>
        <w:t>1</w:t>
      </w:r>
      <w:r w:rsidR="00D83467" w:rsidRPr="004719AD">
        <w:rPr>
          <w:i/>
          <w:iCs/>
          <w:vertAlign w:val="superscript"/>
        </w:rPr>
        <w:t>,</w:t>
      </w:r>
      <w:r w:rsidR="00D83467">
        <w:rPr>
          <w:i/>
          <w:iCs/>
          <w:vertAlign w:val="superscript"/>
        </w:rPr>
        <w:t>3</w:t>
      </w:r>
      <w:r>
        <w:t>, Laici Cristiana</w:t>
      </w:r>
      <w:r w:rsidRPr="00D83467">
        <w:rPr>
          <w:vertAlign w:val="superscript"/>
        </w:rPr>
        <w:t>4</w:t>
      </w:r>
      <w:r>
        <w:t xml:space="preserve">, </w:t>
      </w:r>
      <w:r w:rsidRPr="004719AD">
        <w:t>Barbara</w:t>
      </w:r>
      <w:r w:rsidR="007D14DB">
        <w:t xml:space="preserve"> </w:t>
      </w:r>
      <w:r w:rsidR="007D14DB">
        <w:t>G</w:t>
      </w:r>
      <w:r w:rsidR="007D14DB" w:rsidRPr="004719AD">
        <w:t xml:space="preserve">iovanni </w:t>
      </w:r>
      <w:r w:rsidR="00D83467" w:rsidRPr="004719AD">
        <w:rPr>
          <w:i/>
          <w:iCs/>
          <w:vertAlign w:val="superscript"/>
        </w:rPr>
        <w:t>2,3</w:t>
      </w:r>
      <w:r w:rsidRPr="004719AD">
        <w:t xml:space="preserve">, </w:t>
      </w:r>
      <w:r>
        <w:t>Ravaioli</w:t>
      </w:r>
      <w:r w:rsidR="007D14DB">
        <w:t xml:space="preserve"> </w:t>
      </w:r>
      <w:r w:rsidR="007D14DB">
        <w:t xml:space="preserve">Matteo </w:t>
      </w:r>
      <w:r w:rsidR="00D83467" w:rsidRPr="004719AD">
        <w:rPr>
          <w:i/>
          <w:iCs/>
          <w:vertAlign w:val="superscript"/>
        </w:rPr>
        <w:t>2,3</w:t>
      </w:r>
      <w:r>
        <w:t xml:space="preserve">, and </w:t>
      </w:r>
      <w:r w:rsidRPr="004719AD">
        <w:rPr>
          <w:i/>
          <w:iCs/>
          <w:vertAlign w:val="superscript"/>
        </w:rPr>
        <w:t xml:space="preserve"> </w:t>
      </w:r>
      <w:r w:rsidRPr="004719AD">
        <w:t xml:space="preserve">Cescon Matteo </w:t>
      </w:r>
      <w:r w:rsidRPr="004719AD">
        <w:rPr>
          <w:i/>
          <w:iCs/>
          <w:vertAlign w:val="superscript"/>
        </w:rPr>
        <w:t>2,3</w:t>
      </w:r>
    </w:p>
    <w:p w14:paraId="1921019D" w14:textId="66745DCD" w:rsidR="004719AD" w:rsidRPr="004719AD" w:rsidRDefault="004719AD" w:rsidP="00073F42">
      <w:pPr>
        <w:jc w:val="both"/>
      </w:pPr>
      <w:r w:rsidRPr="004719AD">
        <w:rPr>
          <w:i/>
          <w:iCs/>
          <w:vertAlign w:val="superscript"/>
        </w:rPr>
        <w:t>1</w:t>
      </w:r>
      <w:r w:rsidRPr="004719AD">
        <w:rPr>
          <w:i/>
          <w:iCs/>
        </w:rPr>
        <w:t xml:space="preserve">Hepatobiliary surgery and </w:t>
      </w:r>
      <w:proofErr w:type="spellStart"/>
      <w:r w:rsidRPr="004719AD">
        <w:rPr>
          <w:i/>
          <w:iCs/>
        </w:rPr>
        <w:t>Transplant</w:t>
      </w:r>
      <w:proofErr w:type="spellEnd"/>
      <w:r w:rsidRPr="004719AD">
        <w:rPr>
          <w:i/>
          <w:iCs/>
        </w:rPr>
        <w:t xml:space="preserve"> </w:t>
      </w:r>
      <w:proofErr w:type="spellStart"/>
      <w:r w:rsidRPr="004719AD">
        <w:rPr>
          <w:i/>
          <w:iCs/>
        </w:rPr>
        <w:t>unit</w:t>
      </w:r>
      <w:proofErr w:type="spellEnd"/>
      <w:r w:rsidRPr="004719AD">
        <w:rPr>
          <w:i/>
          <w:iCs/>
        </w:rPr>
        <w:t xml:space="preserve">, IRCCS Azienda Ospedaliero-Universitaria di Bologna, </w:t>
      </w:r>
      <w:proofErr w:type="spellStart"/>
      <w:r w:rsidRPr="004719AD">
        <w:rPr>
          <w:i/>
          <w:iCs/>
        </w:rPr>
        <w:t>Italy</w:t>
      </w:r>
      <w:proofErr w:type="spellEnd"/>
      <w:r w:rsidRPr="004719AD">
        <w:rPr>
          <w:i/>
          <w:iCs/>
        </w:rPr>
        <w:t xml:space="preserve"> </w:t>
      </w:r>
    </w:p>
    <w:p w14:paraId="22479DA8" w14:textId="58FE9FC5" w:rsidR="004719AD" w:rsidRPr="004719AD" w:rsidRDefault="004719AD" w:rsidP="00073F42">
      <w:pPr>
        <w:jc w:val="both"/>
      </w:pPr>
      <w:r w:rsidRPr="004719AD">
        <w:rPr>
          <w:i/>
          <w:iCs/>
          <w:vertAlign w:val="superscript"/>
        </w:rPr>
        <w:t xml:space="preserve">2 </w:t>
      </w:r>
      <w:proofErr w:type="spellStart"/>
      <w:r w:rsidRPr="004719AD">
        <w:rPr>
          <w:i/>
          <w:iCs/>
        </w:rPr>
        <w:t>Gastroenterology</w:t>
      </w:r>
      <w:proofErr w:type="spellEnd"/>
      <w:r w:rsidRPr="004719AD">
        <w:rPr>
          <w:i/>
          <w:iCs/>
        </w:rPr>
        <w:t xml:space="preserve"> Unit, IRCCS Azienda Ospedaliero Universitaria di Bologna, Bologna, </w:t>
      </w:r>
      <w:proofErr w:type="spellStart"/>
      <w:r w:rsidRPr="004719AD">
        <w:rPr>
          <w:i/>
          <w:iCs/>
        </w:rPr>
        <w:t>Italy</w:t>
      </w:r>
      <w:proofErr w:type="spellEnd"/>
      <w:r w:rsidRPr="004719AD">
        <w:rPr>
          <w:i/>
          <w:iCs/>
        </w:rPr>
        <w:t>.</w:t>
      </w:r>
    </w:p>
    <w:p w14:paraId="035C39CA" w14:textId="4843A742" w:rsidR="004719AD" w:rsidRPr="004719AD" w:rsidRDefault="004719AD" w:rsidP="00073F42">
      <w:pPr>
        <w:jc w:val="both"/>
      </w:pPr>
      <w:r w:rsidRPr="004719AD">
        <w:rPr>
          <w:i/>
          <w:iCs/>
          <w:vertAlign w:val="superscript"/>
          <w:lang w:val="en-US"/>
        </w:rPr>
        <w:t>3</w:t>
      </w:r>
      <w:r w:rsidRPr="004719AD">
        <w:rPr>
          <w:i/>
          <w:iCs/>
          <w:lang w:val="en-US"/>
        </w:rPr>
        <w:t>Department of Medical and Surgical Sciences, University of Bologna, Bologna, Italy.</w:t>
      </w:r>
      <w:r w:rsidRPr="00D83467">
        <w:rPr>
          <w:lang w:val="en-US"/>
        </w:rPr>
        <w:br/>
      </w:r>
      <w:r w:rsidRPr="004719AD">
        <w:rPr>
          <w:i/>
          <w:iCs/>
          <w:vertAlign w:val="superscript"/>
        </w:rPr>
        <w:t>4</w:t>
      </w:r>
      <w:r w:rsidRPr="004719AD">
        <w:rPr>
          <w:i/>
          <w:iCs/>
        </w:rPr>
        <w:t xml:space="preserve">Postoperative and Abdominal </w:t>
      </w:r>
      <w:proofErr w:type="spellStart"/>
      <w:r w:rsidRPr="004719AD">
        <w:rPr>
          <w:i/>
          <w:iCs/>
        </w:rPr>
        <w:t>Organ</w:t>
      </w:r>
      <w:proofErr w:type="spellEnd"/>
      <w:r w:rsidRPr="004719AD">
        <w:rPr>
          <w:i/>
          <w:iCs/>
        </w:rPr>
        <w:t xml:space="preserve"> </w:t>
      </w:r>
      <w:proofErr w:type="spellStart"/>
      <w:r w:rsidRPr="004719AD">
        <w:rPr>
          <w:i/>
          <w:iCs/>
        </w:rPr>
        <w:t>Transplant</w:t>
      </w:r>
      <w:proofErr w:type="spellEnd"/>
      <w:r w:rsidRPr="004719AD">
        <w:rPr>
          <w:i/>
          <w:iCs/>
        </w:rPr>
        <w:t xml:space="preserve"> Intensive Care Unit, IRCCS Azienda Ospedaliero-Universitaria di Bologna, Bologna, </w:t>
      </w:r>
      <w:proofErr w:type="spellStart"/>
      <w:r w:rsidRPr="004719AD">
        <w:rPr>
          <w:i/>
          <w:iCs/>
        </w:rPr>
        <w:t>Italy</w:t>
      </w:r>
      <w:proofErr w:type="spellEnd"/>
      <w:r w:rsidRPr="004719AD">
        <w:rPr>
          <w:i/>
          <w:iCs/>
        </w:rPr>
        <w:t>.</w:t>
      </w:r>
    </w:p>
    <w:p w14:paraId="73B3793B" w14:textId="77777777" w:rsidR="007D12A5" w:rsidRPr="004719AD" w:rsidRDefault="007D12A5" w:rsidP="00073F42">
      <w:pPr>
        <w:jc w:val="both"/>
      </w:pPr>
    </w:p>
    <w:p w14:paraId="4BB7FC68" w14:textId="77777777" w:rsidR="007D12A5" w:rsidRPr="007D12A5" w:rsidRDefault="007D12A5" w:rsidP="00073F42">
      <w:pPr>
        <w:jc w:val="both"/>
        <w:rPr>
          <w:b/>
          <w:bCs/>
          <w:lang w:val="en-US"/>
        </w:rPr>
      </w:pPr>
      <w:r w:rsidRPr="007D12A5">
        <w:rPr>
          <w:b/>
          <w:bCs/>
          <w:lang w:val="en-US"/>
        </w:rPr>
        <w:t>Introduction</w:t>
      </w:r>
    </w:p>
    <w:p w14:paraId="7C4DF395" w14:textId="77777777" w:rsidR="007D12A5" w:rsidRDefault="007D12A5" w:rsidP="00073F42">
      <w:pPr>
        <w:jc w:val="both"/>
        <w:rPr>
          <w:lang w:val="en-US"/>
        </w:rPr>
      </w:pPr>
      <w:r w:rsidRPr="007D12A5">
        <w:rPr>
          <w:lang w:val="en-US"/>
        </w:rPr>
        <w:t xml:space="preserve">Biliary complications (BC) remain among the most challenging postoperative issues following liver transplantation (LT). Since 2018, our center introduced systematic use of hypothermic oxygenated perfusion (HOPE) for selected grafts, aiming to reduce ischemia–reperfusion injury, improve LT outcomes and recondition marginal grafts. We conducted a preliminary comparative analysis of LT recipients transplanted before and after the introduction of HOPE to evaluate its impact on the incidence, type, and management of BC, with particular attention to T-tube utilization and post-removal complications. </w:t>
      </w:r>
    </w:p>
    <w:p w14:paraId="15D7CE31" w14:textId="77777777" w:rsidR="007D12A5" w:rsidRDefault="007D12A5" w:rsidP="00073F42">
      <w:pPr>
        <w:jc w:val="both"/>
        <w:rPr>
          <w:lang w:val="en-US"/>
        </w:rPr>
      </w:pPr>
    </w:p>
    <w:p w14:paraId="272E7755" w14:textId="77777777" w:rsidR="007D12A5" w:rsidRPr="007D12A5" w:rsidRDefault="007D12A5" w:rsidP="00073F42">
      <w:pPr>
        <w:jc w:val="both"/>
        <w:rPr>
          <w:b/>
          <w:bCs/>
          <w:lang w:val="en-US"/>
        </w:rPr>
      </w:pPr>
      <w:r w:rsidRPr="007D12A5">
        <w:rPr>
          <w:b/>
          <w:bCs/>
          <w:lang w:val="en-US"/>
        </w:rPr>
        <w:t>Methods</w:t>
      </w:r>
    </w:p>
    <w:p w14:paraId="75B0D8DD" w14:textId="77777777" w:rsidR="007D12A5" w:rsidRDefault="007D12A5" w:rsidP="00073F42">
      <w:pPr>
        <w:jc w:val="both"/>
        <w:rPr>
          <w:lang w:val="en-US"/>
        </w:rPr>
      </w:pPr>
      <w:r w:rsidRPr="007D12A5">
        <w:rPr>
          <w:lang w:val="en-US"/>
        </w:rPr>
        <w:t xml:space="preserve">A retrospective analysis of 1128 patients undergone LT between 2012 and 2023 at Hepatobiliary and Transplant Surgery Unit of </w:t>
      </w:r>
      <w:proofErr w:type="spellStart"/>
      <w:r w:rsidRPr="007D12A5">
        <w:rPr>
          <w:lang w:val="en-US"/>
        </w:rPr>
        <w:t>Policlinico</w:t>
      </w:r>
      <w:proofErr w:type="spellEnd"/>
      <w:r w:rsidRPr="007D12A5">
        <w:rPr>
          <w:lang w:val="en-US"/>
        </w:rPr>
        <w:t xml:space="preserve"> </w:t>
      </w:r>
      <w:proofErr w:type="spellStart"/>
      <w:r w:rsidRPr="007D12A5">
        <w:rPr>
          <w:lang w:val="en-US"/>
        </w:rPr>
        <w:t>Sant’Orsola</w:t>
      </w:r>
      <w:proofErr w:type="spellEnd"/>
      <w:r w:rsidRPr="007D12A5">
        <w:rPr>
          <w:lang w:val="en-US"/>
        </w:rPr>
        <w:t xml:space="preserve"> di Bologna was performed. Patients were stratified into two periods: pre-HOPE (n=566) and post-HOPE (n=562). We explored patients’ demographic characteristics, biliary complication rates, use of ERCP or surgical revision, type of biliary anastomosis, T-tube placement, and complications following T-tube removal.</w:t>
      </w:r>
    </w:p>
    <w:p w14:paraId="70D7400D" w14:textId="77777777" w:rsidR="007D12A5" w:rsidRDefault="007D12A5" w:rsidP="00073F42">
      <w:pPr>
        <w:jc w:val="both"/>
        <w:rPr>
          <w:lang w:val="en-US"/>
        </w:rPr>
      </w:pPr>
    </w:p>
    <w:p w14:paraId="22AB8150" w14:textId="77777777" w:rsidR="007D12A5" w:rsidRPr="007D12A5" w:rsidRDefault="007D12A5" w:rsidP="00073F42">
      <w:pPr>
        <w:jc w:val="both"/>
        <w:rPr>
          <w:b/>
          <w:bCs/>
          <w:lang w:val="en-US"/>
        </w:rPr>
      </w:pPr>
      <w:r w:rsidRPr="007D12A5">
        <w:rPr>
          <w:b/>
          <w:bCs/>
          <w:lang w:val="en-US"/>
        </w:rPr>
        <w:t>Results</w:t>
      </w:r>
    </w:p>
    <w:p w14:paraId="34A88717" w14:textId="77777777" w:rsidR="007D12A5" w:rsidRDefault="007D12A5" w:rsidP="00073F42">
      <w:pPr>
        <w:jc w:val="both"/>
        <w:rPr>
          <w:lang w:val="en-US"/>
        </w:rPr>
      </w:pPr>
      <w:r w:rsidRPr="007D12A5">
        <w:rPr>
          <w:lang w:val="en-US"/>
        </w:rPr>
        <w:t xml:space="preserve">In the second period HOPE was applied in 52,7 % of grafts, reflecting its routine adoption in clinical practice with significant shifts in biliary outcomes. The incidence of overall BC decreased in the post-HOPE era (19.1% vs. 14.8%, p&lt;0.001), with a notable reduction in non-anastomotic strictures and leak-related complications. Use of T-tube increased significantly in the post-HOPE group (74.5% vs 50.9%, p&lt;0.001) likely due to the preferential application of HOPE to more marginal grafts. Despite higher T-tube utilization, post-removal complications remained stable, showing only a non-significant increase (29.8% vs. 37.6%, p=0.051), while T-tube-related hospital readmissions did not differ between periods. The indications for ERCP after LT differed significantly between the two periods (p&lt;0.001). Biliary leaks became markedly more frequent after 2019 (42.4% vs. 6.7%), while anastomotic strictures decreased (36.4% vs. 64.4%). </w:t>
      </w:r>
    </w:p>
    <w:p w14:paraId="5414BB13" w14:textId="77777777" w:rsidR="007D12A5" w:rsidRDefault="007D12A5" w:rsidP="00073F42">
      <w:pPr>
        <w:jc w:val="both"/>
        <w:rPr>
          <w:lang w:val="en-US"/>
        </w:rPr>
      </w:pPr>
    </w:p>
    <w:p w14:paraId="1788EA32" w14:textId="77777777" w:rsidR="007D12A5" w:rsidRPr="007D12A5" w:rsidRDefault="007D12A5" w:rsidP="00073F42">
      <w:pPr>
        <w:jc w:val="both"/>
        <w:rPr>
          <w:b/>
          <w:bCs/>
          <w:lang w:val="en-US"/>
        </w:rPr>
      </w:pPr>
      <w:r w:rsidRPr="007D12A5">
        <w:rPr>
          <w:b/>
          <w:bCs/>
          <w:lang w:val="en-US"/>
        </w:rPr>
        <w:t>Conclusion</w:t>
      </w:r>
    </w:p>
    <w:p w14:paraId="47D05D80" w14:textId="3359CFE2" w:rsidR="00FE36CE" w:rsidRPr="007D12A5" w:rsidRDefault="007D12A5" w:rsidP="00073F42">
      <w:pPr>
        <w:jc w:val="both"/>
        <w:rPr>
          <w:lang w:val="en-US"/>
        </w:rPr>
      </w:pPr>
      <w:r w:rsidRPr="007D12A5">
        <w:rPr>
          <w:lang w:val="en-US"/>
        </w:rPr>
        <w:t>The introduction of HOPE in our center was associated with improved biliary outcomes and a reduction in the overall BC. Our findings support the integration of HOPE into LT practice and highlight the importance of a multimodal, era-specific evaluation of biliary complications. Further prospective studies are needed to isolate the specific protective effect of HOPE from concurrent surgical and clinical innovations.</w:t>
      </w:r>
    </w:p>
    <w:sectPr w:rsidR="00FE36CE" w:rsidRPr="007D12A5" w:rsidSect="00E930C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A5"/>
    <w:rsid w:val="00073F42"/>
    <w:rsid w:val="004719AD"/>
    <w:rsid w:val="006E5BB4"/>
    <w:rsid w:val="007D12A5"/>
    <w:rsid w:val="007D14DB"/>
    <w:rsid w:val="00B664BB"/>
    <w:rsid w:val="00D24096"/>
    <w:rsid w:val="00D26619"/>
    <w:rsid w:val="00D83467"/>
    <w:rsid w:val="00E83BD9"/>
    <w:rsid w:val="00E930CD"/>
    <w:rsid w:val="00FA769F"/>
    <w:rsid w:val="00FE3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82A094D"/>
  <w15:chartTrackingRefBased/>
  <w15:docId w15:val="{E4CC6701-8591-A344-B8FB-3B31B487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D1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D1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D12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D12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D12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D12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12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12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12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12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D12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D12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D12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D12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D12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12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12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12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12A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12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12A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12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12A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12A5"/>
    <w:rPr>
      <w:i/>
      <w:iCs/>
      <w:color w:val="404040" w:themeColor="text1" w:themeTint="BF"/>
    </w:rPr>
  </w:style>
  <w:style w:type="paragraph" w:styleId="Paragrafoelenco">
    <w:name w:val="List Paragraph"/>
    <w:basedOn w:val="Normale"/>
    <w:uiPriority w:val="34"/>
    <w:qFormat/>
    <w:rsid w:val="007D12A5"/>
    <w:pPr>
      <w:ind w:left="720"/>
      <w:contextualSpacing/>
    </w:pPr>
  </w:style>
  <w:style w:type="character" w:styleId="Enfasiintensa">
    <w:name w:val="Intense Emphasis"/>
    <w:basedOn w:val="Carpredefinitoparagrafo"/>
    <w:uiPriority w:val="21"/>
    <w:qFormat/>
    <w:rsid w:val="007D12A5"/>
    <w:rPr>
      <w:i/>
      <w:iCs/>
      <w:color w:val="0F4761" w:themeColor="accent1" w:themeShade="BF"/>
    </w:rPr>
  </w:style>
  <w:style w:type="paragraph" w:styleId="Citazioneintensa">
    <w:name w:val="Intense Quote"/>
    <w:basedOn w:val="Normale"/>
    <w:next w:val="Normale"/>
    <w:link w:val="CitazioneintensaCarattere"/>
    <w:uiPriority w:val="30"/>
    <w:qFormat/>
    <w:rsid w:val="007D1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D12A5"/>
    <w:rPr>
      <w:i/>
      <w:iCs/>
      <w:color w:val="0F4761" w:themeColor="accent1" w:themeShade="BF"/>
    </w:rPr>
  </w:style>
  <w:style w:type="character" w:styleId="Riferimentointenso">
    <w:name w:val="Intense Reference"/>
    <w:basedOn w:val="Carpredefinitoparagrafo"/>
    <w:uiPriority w:val="32"/>
    <w:qFormat/>
    <w:rsid w:val="007D12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310843">
      <w:bodyDiv w:val="1"/>
      <w:marLeft w:val="0"/>
      <w:marRight w:val="0"/>
      <w:marTop w:val="0"/>
      <w:marBottom w:val="0"/>
      <w:divBdr>
        <w:top w:val="none" w:sz="0" w:space="0" w:color="auto"/>
        <w:left w:val="none" w:sz="0" w:space="0" w:color="auto"/>
        <w:bottom w:val="none" w:sz="0" w:space="0" w:color="auto"/>
        <w:right w:val="none" w:sz="0" w:space="0" w:color="auto"/>
      </w:divBdr>
    </w:div>
    <w:div w:id="15215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487</Words>
  <Characters>2778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Prior - margherita.prior@studio.unibo.it</dc:creator>
  <cp:keywords/>
  <dc:description/>
  <cp:lastModifiedBy>Margherita Prior - margherita.prior@studio.unibo.it</cp:lastModifiedBy>
  <cp:revision>5</cp:revision>
  <dcterms:created xsi:type="dcterms:W3CDTF">2025-12-07T21:33:00Z</dcterms:created>
  <dcterms:modified xsi:type="dcterms:W3CDTF">2025-12-07T21:57:00Z</dcterms:modified>
</cp:coreProperties>
</file>